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E7" w:rsidRDefault="002833E7" w:rsidP="000C2AF2">
      <w:pPr>
        <w:pStyle w:val="Cm"/>
        <w:spacing w:line="276" w:lineRule="auto"/>
      </w:pPr>
    </w:p>
    <w:p w:rsidR="002833E7" w:rsidRDefault="002833E7" w:rsidP="000C2AF2">
      <w:pPr>
        <w:pStyle w:val="Cm"/>
        <w:spacing w:line="276" w:lineRule="auto"/>
      </w:pPr>
    </w:p>
    <w:p w:rsidR="002833E7" w:rsidRDefault="002833E7" w:rsidP="000C2AF2">
      <w:pPr>
        <w:pStyle w:val="Cm"/>
        <w:spacing w:before="240" w:line="276" w:lineRule="auto"/>
      </w:pPr>
      <w:bookmarkStart w:id="0" w:name="_GoBack"/>
      <w:bookmarkEnd w:id="0"/>
      <w:r>
        <w:t>BAMOSZ Ingatlanalap Index</w:t>
      </w:r>
    </w:p>
    <w:p w:rsidR="002833E7" w:rsidRDefault="002833E7" w:rsidP="000C2AF2">
      <w:pPr>
        <w:pStyle w:val="Cm"/>
        <w:spacing w:before="240" w:line="276" w:lineRule="auto"/>
      </w:pPr>
      <w:r>
        <w:t>(BIX Index)</w:t>
      </w:r>
    </w:p>
    <w:p w:rsidR="002833E7" w:rsidRDefault="002833E7" w:rsidP="000C2AF2">
      <w:pPr>
        <w:pStyle w:val="Cm"/>
        <w:spacing w:before="240" w:line="276" w:lineRule="auto"/>
      </w:pPr>
    </w:p>
    <w:p w:rsidR="002833E7" w:rsidRDefault="002833E7" w:rsidP="000C2AF2">
      <w:pPr>
        <w:pStyle w:val="Cm"/>
        <w:spacing w:before="240" w:line="276" w:lineRule="auto"/>
      </w:pPr>
    </w:p>
    <w:p w:rsidR="002833E7" w:rsidRDefault="002833E7" w:rsidP="000C2AF2">
      <w:pPr>
        <w:pStyle w:val="Cm"/>
        <w:spacing w:before="240" w:line="276" w:lineRule="auto"/>
      </w:pPr>
      <w:r>
        <w:t>Számítási Kézikönyv</w:t>
      </w:r>
    </w:p>
    <w:p w:rsidR="005B313C" w:rsidRDefault="005B313C" w:rsidP="000C2AF2">
      <w:pPr>
        <w:pStyle w:val="Cm"/>
        <w:spacing w:before="240" w:line="276" w:lineRule="auto"/>
      </w:pPr>
    </w:p>
    <w:p w:rsidR="005124DF" w:rsidRDefault="005124DF" w:rsidP="000C2AF2">
      <w:pPr>
        <w:pStyle w:val="Cm"/>
        <w:spacing w:before="240" w:line="276" w:lineRule="auto"/>
      </w:pPr>
    </w:p>
    <w:p w:rsidR="005B313C" w:rsidRDefault="005B313C" w:rsidP="000C2AF2">
      <w:pPr>
        <w:pStyle w:val="Cm"/>
        <w:spacing w:before="240" w:line="276" w:lineRule="auto"/>
      </w:pPr>
    </w:p>
    <w:tbl>
      <w:tblPr>
        <w:tblStyle w:val="Rcsostblzat"/>
        <w:tblW w:w="0" w:type="auto"/>
        <w:tblLook w:val="04A0"/>
      </w:tblPr>
      <w:tblGrid>
        <w:gridCol w:w="4814"/>
        <w:gridCol w:w="4815"/>
      </w:tblGrid>
      <w:tr w:rsidR="00530B31" w:rsidTr="00530B31">
        <w:tc>
          <w:tcPr>
            <w:tcW w:w="4814" w:type="dxa"/>
          </w:tcPr>
          <w:p w:rsidR="00530B31" w:rsidRPr="000C2AF2" w:rsidRDefault="00530B31" w:rsidP="000C2AF2">
            <w:pPr>
              <w:pStyle w:val="TJ1"/>
              <w:tabs>
                <w:tab w:val="left" w:pos="440"/>
                <w:tab w:val="right" w:pos="9629"/>
              </w:tabs>
              <w:spacing w:line="276" w:lineRule="auto"/>
              <w:jc w:val="center"/>
              <w:rPr>
                <w:b/>
                <w:szCs w:val="24"/>
              </w:rPr>
            </w:pPr>
            <w:r w:rsidRPr="000C2AF2">
              <w:rPr>
                <w:b/>
                <w:szCs w:val="24"/>
              </w:rPr>
              <w:t>A BAMOSZ Eln</w:t>
            </w:r>
            <w:r w:rsidRPr="000C2AF2">
              <w:rPr>
                <w:rFonts w:hint="eastAsia"/>
                <w:b/>
                <w:szCs w:val="24"/>
              </w:rPr>
              <w:t>ö</w:t>
            </w:r>
            <w:r w:rsidRPr="000C2AF2">
              <w:rPr>
                <w:b/>
                <w:szCs w:val="24"/>
              </w:rPr>
              <w:t>ks</w:t>
            </w:r>
            <w:r w:rsidRPr="000C2AF2">
              <w:rPr>
                <w:rFonts w:hint="eastAsia"/>
                <w:b/>
                <w:szCs w:val="24"/>
              </w:rPr>
              <w:t>é</w:t>
            </w:r>
            <w:r w:rsidRPr="000C2AF2">
              <w:rPr>
                <w:b/>
                <w:szCs w:val="24"/>
              </w:rPr>
              <w:t>g elfogad</w:t>
            </w:r>
            <w:r w:rsidRPr="000C2AF2">
              <w:rPr>
                <w:rFonts w:hint="eastAsia"/>
                <w:b/>
                <w:szCs w:val="24"/>
              </w:rPr>
              <w:t>ó</w:t>
            </w:r>
            <w:r w:rsidRPr="000C2AF2">
              <w:rPr>
                <w:b/>
                <w:szCs w:val="24"/>
              </w:rPr>
              <w:t xml:space="preserve"> hat</w:t>
            </w:r>
            <w:r w:rsidRPr="000C2AF2">
              <w:rPr>
                <w:rFonts w:hint="eastAsia"/>
                <w:b/>
                <w:szCs w:val="24"/>
              </w:rPr>
              <w:t>á</w:t>
            </w:r>
            <w:r w:rsidRPr="000C2AF2">
              <w:rPr>
                <w:b/>
                <w:szCs w:val="24"/>
              </w:rPr>
              <w:t>rozat</w:t>
            </w:r>
            <w:r w:rsidRPr="000C2AF2">
              <w:rPr>
                <w:rFonts w:hint="eastAsia"/>
                <w:b/>
                <w:szCs w:val="24"/>
              </w:rPr>
              <w:t>á</w:t>
            </w:r>
            <w:r w:rsidRPr="000C2AF2">
              <w:rPr>
                <w:b/>
                <w:szCs w:val="24"/>
              </w:rPr>
              <w:t>nak sz</w:t>
            </w:r>
            <w:r w:rsidRPr="000C2AF2">
              <w:rPr>
                <w:rFonts w:hint="eastAsia"/>
                <w:b/>
                <w:szCs w:val="24"/>
              </w:rPr>
              <w:t>á</w:t>
            </w:r>
            <w:r w:rsidRPr="000C2AF2">
              <w:rPr>
                <w:b/>
                <w:szCs w:val="24"/>
              </w:rPr>
              <w:t xml:space="preserve">ma </w:t>
            </w:r>
            <w:r w:rsidRPr="000C2AF2">
              <w:rPr>
                <w:rFonts w:hint="eastAsia"/>
                <w:b/>
                <w:szCs w:val="24"/>
              </w:rPr>
              <w:t>é</w:t>
            </w:r>
            <w:r w:rsidRPr="000C2AF2">
              <w:rPr>
                <w:b/>
                <w:szCs w:val="24"/>
              </w:rPr>
              <w:t>s kelte:</w:t>
            </w:r>
          </w:p>
        </w:tc>
        <w:tc>
          <w:tcPr>
            <w:tcW w:w="4815" w:type="dxa"/>
          </w:tcPr>
          <w:p w:rsidR="00530B31" w:rsidRPr="000C2AF2" w:rsidRDefault="00530B31" w:rsidP="000C2AF2">
            <w:pPr>
              <w:pStyle w:val="TJ1"/>
              <w:tabs>
                <w:tab w:val="left" w:pos="440"/>
                <w:tab w:val="right" w:pos="9629"/>
              </w:tabs>
              <w:spacing w:line="276" w:lineRule="auto"/>
              <w:jc w:val="center"/>
              <w:rPr>
                <w:b/>
                <w:szCs w:val="24"/>
              </w:rPr>
            </w:pPr>
            <w:r w:rsidRPr="000C2AF2">
              <w:rPr>
                <w:b/>
                <w:szCs w:val="24"/>
              </w:rPr>
              <w:t>Hat</w:t>
            </w:r>
            <w:r w:rsidRPr="000C2AF2">
              <w:rPr>
                <w:rFonts w:hint="eastAsia"/>
                <w:b/>
                <w:szCs w:val="24"/>
              </w:rPr>
              <w:t>á</w:t>
            </w:r>
            <w:r w:rsidRPr="000C2AF2">
              <w:rPr>
                <w:b/>
                <w:szCs w:val="24"/>
              </w:rPr>
              <w:t>lybal</w:t>
            </w:r>
            <w:r w:rsidRPr="000C2AF2">
              <w:rPr>
                <w:rFonts w:hint="eastAsia"/>
                <w:b/>
                <w:szCs w:val="24"/>
              </w:rPr>
              <w:t>é</w:t>
            </w:r>
            <w:r w:rsidRPr="000C2AF2">
              <w:rPr>
                <w:b/>
                <w:szCs w:val="24"/>
              </w:rPr>
              <w:t>p</w:t>
            </w:r>
            <w:r w:rsidRPr="000C2AF2">
              <w:rPr>
                <w:rFonts w:hint="eastAsia"/>
                <w:b/>
                <w:szCs w:val="24"/>
              </w:rPr>
              <w:t>é</w:t>
            </w:r>
            <w:r w:rsidRPr="000C2AF2">
              <w:rPr>
                <w:b/>
                <w:szCs w:val="24"/>
              </w:rPr>
              <w:t>s d</w:t>
            </w:r>
            <w:r w:rsidRPr="000C2AF2">
              <w:rPr>
                <w:rFonts w:hint="eastAsia"/>
                <w:b/>
                <w:szCs w:val="24"/>
              </w:rPr>
              <w:t>á</w:t>
            </w:r>
            <w:r w:rsidRPr="000C2AF2">
              <w:rPr>
                <w:b/>
                <w:szCs w:val="24"/>
              </w:rPr>
              <w:t>tuma:</w:t>
            </w:r>
          </w:p>
        </w:tc>
      </w:tr>
      <w:tr w:rsidR="00530B31" w:rsidTr="000C2AF2">
        <w:trPr>
          <w:trHeight w:val="740"/>
        </w:trPr>
        <w:tc>
          <w:tcPr>
            <w:tcW w:w="4814" w:type="dxa"/>
          </w:tcPr>
          <w:p w:rsidR="00530B31" w:rsidRDefault="002A3D19" w:rsidP="000C2AF2">
            <w:pPr>
              <w:pStyle w:val="TJ1"/>
              <w:tabs>
                <w:tab w:val="left" w:pos="440"/>
                <w:tab w:val="right" w:pos="9629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4/2018 (08.30)</w:t>
            </w:r>
            <w:r w:rsidR="00F343C1">
              <w:rPr>
                <w:rFonts w:ascii="Times New Roman" w:hAnsi="Times New Roman"/>
                <w:szCs w:val="24"/>
              </w:rPr>
              <w:t>▪</w:t>
            </w:r>
          </w:p>
        </w:tc>
        <w:tc>
          <w:tcPr>
            <w:tcW w:w="4815" w:type="dxa"/>
          </w:tcPr>
          <w:p w:rsidR="00530B31" w:rsidRDefault="00F343C1" w:rsidP="000C2AF2">
            <w:pPr>
              <w:pStyle w:val="TJ1"/>
              <w:tabs>
                <w:tab w:val="left" w:pos="440"/>
                <w:tab w:val="right" w:pos="9629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2018.</w:t>
            </w:r>
            <w:r w:rsidR="002A3D19">
              <w:rPr>
                <w:szCs w:val="24"/>
              </w:rPr>
              <w:t xml:space="preserve"> október 1.</w:t>
            </w:r>
            <w:r>
              <w:rPr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▪</w:t>
            </w:r>
          </w:p>
        </w:tc>
      </w:tr>
    </w:tbl>
    <w:p w:rsidR="00F343C1" w:rsidRPr="004C05AC" w:rsidRDefault="002833E7" w:rsidP="000C2AF2">
      <w:pPr>
        <w:pStyle w:val="TJ1"/>
        <w:tabs>
          <w:tab w:val="left" w:pos="440"/>
          <w:tab w:val="right" w:leader="dot" w:pos="9629"/>
        </w:tabs>
        <w:spacing w:line="276" w:lineRule="auto"/>
        <w:rPr>
          <w:b/>
        </w:rPr>
      </w:pPr>
      <w:r>
        <w:br w:type="page"/>
      </w:r>
    </w:p>
    <w:p w:rsidR="0078397B" w:rsidRDefault="001D3E31" w:rsidP="000C2AF2">
      <w:pPr>
        <w:pStyle w:val="TJ1"/>
        <w:tabs>
          <w:tab w:val="left" w:pos="480"/>
          <w:tab w:val="right" w:pos="9629"/>
        </w:tabs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  <w:r>
        <w:lastRenderedPageBreak/>
        <w:fldChar w:fldCharType="begin"/>
      </w:r>
      <w:r w:rsidR="00D47442">
        <w:instrText xml:space="preserve"> TOC \o "1-3" \h \z \u </w:instrText>
      </w:r>
      <w:r>
        <w:fldChar w:fldCharType="separate"/>
      </w:r>
    </w:p>
    <w:sdt>
      <w:sdtPr>
        <w:rPr>
          <w:rFonts w:ascii="Futura CE Book" w:eastAsia="Times New Roman" w:hAnsi="Futura CE Book" w:cs="Times New Roman"/>
          <w:noProof/>
          <w:color w:val="auto"/>
          <w:sz w:val="24"/>
          <w:szCs w:val="20"/>
          <w:lang w:eastAsia="en-US"/>
        </w:rPr>
        <w:id w:val="3171632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C3EC4" w:rsidRDefault="004C3EC4" w:rsidP="000C2AF2">
          <w:pPr>
            <w:pStyle w:val="Tartalomjegyzkcmsora"/>
            <w:spacing w:after="240" w:line="276" w:lineRule="auto"/>
            <w:rPr>
              <w:noProof/>
            </w:rPr>
          </w:pPr>
          <w:r w:rsidRPr="000C2AF2">
            <w:rPr>
              <w:rFonts w:ascii="Futura CE Book" w:eastAsia="Times New Roman" w:hAnsi="Futura CE Book" w:cs="Times New Roman"/>
              <w:b/>
              <w:noProof/>
              <w:color w:val="auto"/>
              <w:sz w:val="24"/>
              <w:szCs w:val="20"/>
              <w:lang w:eastAsia="en-US"/>
            </w:rPr>
            <w:t>Tartalomjegyzék</w:t>
          </w:r>
        </w:p>
        <w:p w:rsidR="004C3EC4" w:rsidRDefault="001D3E31" w:rsidP="005124DF">
          <w:pPr>
            <w:pStyle w:val="TJ1"/>
            <w:tabs>
              <w:tab w:val="left" w:pos="480"/>
              <w:tab w:val="right" w:pos="9629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r w:rsidRPr="001D3E31">
            <w:rPr>
              <w:noProof/>
            </w:rPr>
            <w:fldChar w:fldCharType="begin"/>
          </w:r>
          <w:r w:rsidR="004C3EC4">
            <w:rPr>
              <w:noProof/>
            </w:rPr>
            <w:instrText xml:space="preserve"> TOC \o "1-3" \h \z \u </w:instrText>
          </w:r>
          <w:r w:rsidRPr="001D3E31">
            <w:rPr>
              <w:noProof/>
            </w:rPr>
            <w:fldChar w:fldCharType="separate"/>
          </w:r>
          <w:hyperlink w:anchor="_Toc520117726" w:history="1">
            <w:r w:rsidR="004C3EC4" w:rsidRPr="00F367CC">
              <w:rPr>
                <w:rStyle w:val="Hiperhivatkozs"/>
                <w:noProof/>
              </w:rPr>
              <w:t>1.</w:t>
            </w:r>
            <w:r w:rsidR="004C3E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3EC4" w:rsidRPr="00F367CC">
              <w:rPr>
                <w:rStyle w:val="Hiperhivatkozs"/>
                <w:noProof/>
              </w:rPr>
              <w:t>Bevezetés</w:t>
            </w:r>
            <w:r w:rsidR="004C3E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3EC4">
              <w:rPr>
                <w:noProof/>
                <w:webHidden/>
              </w:rPr>
              <w:instrText xml:space="preserve"> PAGEREF _Toc520117726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6B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EC4" w:rsidRDefault="001D3E31" w:rsidP="005124DF">
          <w:pPr>
            <w:pStyle w:val="TJ1"/>
            <w:tabs>
              <w:tab w:val="left" w:pos="480"/>
              <w:tab w:val="right" w:pos="9629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520117727" w:history="1">
            <w:r w:rsidR="004C3EC4" w:rsidRPr="00F367CC">
              <w:rPr>
                <w:rStyle w:val="Hiperhivatkozs"/>
                <w:noProof/>
              </w:rPr>
              <w:t>2.</w:t>
            </w:r>
            <w:r w:rsidR="004C3E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3EC4" w:rsidRPr="00F367CC">
              <w:rPr>
                <w:rStyle w:val="Hiperhivatkozs"/>
                <w:noProof/>
              </w:rPr>
              <w:t>Az index célja</w:t>
            </w:r>
            <w:r w:rsidR="004C3E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3EC4">
              <w:rPr>
                <w:noProof/>
                <w:webHidden/>
              </w:rPr>
              <w:instrText xml:space="preserve"> PAGEREF _Toc520117727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6B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EC4" w:rsidRDefault="001D3E31" w:rsidP="005124DF">
          <w:pPr>
            <w:pStyle w:val="TJ1"/>
            <w:tabs>
              <w:tab w:val="left" w:pos="480"/>
              <w:tab w:val="right" w:pos="9629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520117732" w:history="1">
            <w:r w:rsidR="004C3EC4" w:rsidRPr="00F367CC">
              <w:rPr>
                <w:rStyle w:val="Hiperhivatkozs"/>
                <w:noProof/>
              </w:rPr>
              <w:t>3.</w:t>
            </w:r>
            <w:r w:rsidR="004C3E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3EC4" w:rsidRPr="00F367CC">
              <w:rPr>
                <w:rStyle w:val="Hiperhivatkozs"/>
                <w:noProof/>
              </w:rPr>
              <w:t>Az index leírása</w:t>
            </w:r>
            <w:r w:rsidR="004C3E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3EC4">
              <w:rPr>
                <w:noProof/>
                <w:webHidden/>
              </w:rPr>
              <w:instrText xml:space="preserve"> PAGEREF _Toc520117732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6B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EC4" w:rsidRDefault="001D3E31" w:rsidP="005124DF">
          <w:pPr>
            <w:pStyle w:val="TJ2"/>
            <w:tabs>
              <w:tab w:val="left" w:pos="880"/>
              <w:tab w:val="right" w:pos="9629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520117734" w:history="1">
            <w:r w:rsidR="004C3EC4" w:rsidRPr="00F367CC">
              <w:rPr>
                <w:rStyle w:val="Hiperhivatkozs"/>
                <w:noProof/>
              </w:rPr>
              <w:t>3.1.</w:t>
            </w:r>
            <w:r w:rsidR="004C3E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3EC4" w:rsidRPr="00F367CC">
              <w:rPr>
                <w:rStyle w:val="Hiperhivatkozs"/>
                <w:noProof/>
              </w:rPr>
              <w:t>Az index elnevezése</w:t>
            </w:r>
            <w:r w:rsidR="004C3E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3EC4">
              <w:rPr>
                <w:noProof/>
                <w:webHidden/>
              </w:rPr>
              <w:instrText xml:space="preserve"> PAGEREF _Toc520117734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6B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EC4" w:rsidRDefault="001D3E31" w:rsidP="005124DF">
          <w:pPr>
            <w:pStyle w:val="TJ2"/>
            <w:tabs>
              <w:tab w:val="left" w:pos="880"/>
              <w:tab w:val="right" w:pos="9629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520117735" w:history="1">
            <w:r w:rsidR="004C3EC4" w:rsidRPr="00F367CC">
              <w:rPr>
                <w:rStyle w:val="Hiperhivatkozs"/>
                <w:noProof/>
              </w:rPr>
              <w:t>3.2.</w:t>
            </w:r>
            <w:r w:rsidR="004C3E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3EC4" w:rsidRPr="00F367CC">
              <w:rPr>
                <w:rStyle w:val="Hiperhivatkozs"/>
                <w:noProof/>
              </w:rPr>
              <w:t>Az indextagok lehetséges köre</w:t>
            </w:r>
            <w:r w:rsidR="004C3E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3EC4">
              <w:rPr>
                <w:noProof/>
                <w:webHidden/>
              </w:rPr>
              <w:instrText xml:space="preserve"> PAGEREF _Toc520117735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6B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EC4" w:rsidRDefault="001D3E31" w:rsidP="005124DF">
          <w:pPr>
            <w:pStyle w:val="TJ2"/>
            <w:tabs>
              <w:tab w:val="left" w:pos="880"/>
              <w:tab w:val="right" w:pos="9629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520117736" w:history="1">
            <w:r w:rsidR="004C3EC4" w:rsidRPr="00F367CC">
              <w:rPr>
                <w:rStyle w:val="Hiperhivatkozs"/>
                <w:noProof/>
              </w:rPr>
              <w:t>3.3.</w:t>
            </w:r>
            <w:r w:rsidR="004C3E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3EC4" w:rsidRPr="00F367CC">
              <w:rPr>
                <w:rStyle w:val="Hiperhivatkozs"/>
                <w:noProof/>
              </w:rPr>
              <w:t>Az index típusa</w:t>
            </w:r>
            <w:r w:rsidR="004C3E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3EC4">
              <w:rPr>
                <w:noProof/>
                <w:webHidden/>
              </w:rPr>
              <w:instrText xml:space="preserve"> PAGEREF _Toc520117736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6B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EC4" w:rsidRDefault="001D3E31" w:rsidP="005124DF">
          <w:pPr>
            <w:pStyle w:val="TJ2"/>
            <w:tabs>
              <w:tab w:val="left" w:pos="880"/>
              <w:tab w:val="right" w:pos="9629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520117737" w:history="1">
            <w:r w:rsidR="004C3EC4" w:rsidRPr="00F367CC">
              <w:rPr>
                <w:rStyle w:val="Hiperhivatkozs"/>
                <w:noProof/>
              </w:rPr>
              <w:t>3.4.</w:t>
            </w:r>
            <w:r w:rsidR="004C3E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3EC4" w:rsidRPr="00F367CC">
              <w:rPr>
                <w:rStyle w:val="Hiperhivatkozs"/>
                <w:noProof/>
              </w:rPr>
              <w:t>Az index számításának időpontjai</w:t>
            </w:r>
            <w:r w:rsidR="004C3E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3EC4">
              <w:rPr>
                <w:noProof/>
                <w:webHidden/>
              </w:rPr>
              <w:instrText xml:space="preserve"> PAGEREF _Toc520117737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6B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EC4" w:rsidRDefault="001D3E31" w:rsidP="005124DF">
          <w:pPr>
            <w:pStyle w:val="TJ2"/>
            <w:tabs>
              <w:tab w:val="left" w:pos="880"/>
              <w:tab w:val="right" w:pos="9629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520117738" w:history="1">
            <w:r w:rsidR="004C3EC4" w:rsidRPr="00F367CC">
              <w:rPr>
                <w:rStyle w:val="Hiperhivatkozs"/>
                <w:noProof/>
              </w:rPr>
              <w:t>3.5.</w:t>
            </w:r>
            <w:r w:rsidR="004C3E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3EC4" w:rsidRPr="00F367CC">
              <w:rPr>
                <w:rStyle w:val="Hiperhivatkozs"/>
                <w:noProof/>
              </w:rPr>
              <w:t>Indexértékek közzététele</w:t>
            </w:r>
            <w:r w:rsidR="004C3E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3EC4">
              <w:rPr>
                <w:noProof/>
                <w:webHidden/>
              </w:rPr>
              <w:instrText xml:space="preserve"> PAGEREF _Toc520117738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6B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EC4" w:rsidRDefault="001D3E31" w:rsidP="005124DF">
          <w:pPr>
            <w:pStyle w:val="TJ2"/>
            <w:tabs>
              <w:tab w:val="left" w:pos="880"/>
              <w:tab w:val="right" w:pos="9629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520117739" w:history="1">
            <w:r w:rsidR="004C3EC4" w:rsidRPr="00F367CC">
              <w:rPr>
                <w:rStyle w:val="Hiperhivatkozs"/>
                <w:noProof/>
              </w:rPr>
              <w:t>3.6.</w:t>
            </w:r>
            <w:r w:rsidR="004C3E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3EC4" w:rsidRPr="00F367CC">
              <w:rPr>
                <w:rStyle w:val="Hiperhivatkozs"/>
                <w:noProof/>
              </w:rPr>
              <w:t>Az index bázis</w:t>
            </w:r>
            <w:r w:rsidR="004C3E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3EC4">
              <w:rPr>
                <w:noProof/>
                <w:webHidden/>
              </w:rPr>
              <w:instrText xml:space="preserve"> PAGEREF _Toc520117739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6B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EC4" w:rsidRDefault="001D3E31" w:rsidP="005124DF">
          <w:pPr>
            <w:pStyle w:val="TJ2"/>
            <w:tabs>
              <w:tab w:val="left" w:pos="880"/>
              <w:tab w:val="right" w:pos="9629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520117740" w:history="1">
            <w:r w:rsidR="004C3EC4" w:rsidRPr="00F367CC">
              <w:rPr>
                <w:rStyle w:val="Hiperhivatkozs"/>
                <w:noProof/>
              </w:rPr>
              <w:t>3.7.</w:t>
            </w:r>
            <w:r w:rsidR="004C3E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3EC4" w:rsidRPr="00F367CC">
              <w:rPr>
                <w:rStyle w:val="Hiperhivatkozs"/>
                <w:noProof/>
              </w:rPr>
              <w:t>Az index képlete</w:t>
            </w:r>
            <w:r w:rsidR="004C3E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3EC4">
              <w:rPr>
                <w:noProof/>
                <w:webHidden/>
              </w:rPr>
              <w:instrText xml:space="preserve"> PAGEREF _Toc520117740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6B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EC4" w:rsidRDefault="001D3E31" w:rsidP="000C2AF2">
          <w:pPr>
            <w:pStyle w:val="TJ2"/>
            <w:tabs>
              <w:tab w:val="left" w:pos="880"/>
              <w:tab w:val="right" w:pos="9629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520117741" w:history="1">
            <w:r w:rsidR="004C3EC4" w:rsidRPr="00F367CC">
              <w:rPr>
                <w:rStyle w:val="Hiperhivatkozs"/>
                <w:noProof/>
              </w:rPr>
              <w:t>3.8.</w:t>
            </w:r>
            <w:r w:rsidR="004C3E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3EC4" w:rsidRPr="00F367CC">
              <w:rPr>
                <w:rStyle w:val="Hiperhivatkozs"/>
                <w:noProof/>
              </w:rPr>
              <w:t>Az index változói</w:t>
            </w:r>
            <w:r w:rsidR="004C3E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3EC4">
              <w:rPr>
                <w:noProof/>
                <w:webHidden/>
              </w:rPr>
              <w:instrText xml:space="preserve"> PAGEREF _Toc520117741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6B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EC4" w:rsidRDefault="001D3E31" w:rsidP="005124DF">
          <w:pPr>
            <w:pStyle w:val="TJ2"/>
            <w:tabs>
              <w:tab w:val="left" w:pos="880"/>
              <w:tab w:val="right" w:pos="9629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520117742" w:history="1">
            <w:r w:rsidR="004C3EC4" w:rsidRPr="00F367CC">
              <w:rPr>
                <w:rStyle w:val="Hiperhivatkozs"/>
                <w:noProof/>
              </w:rPr>
              <w:t>3.9.</w:t>
            </w:r>
            <w:r w:rsidR="004C3E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3EC4" w:rsidRPr="00F367CC">
              <w:rPr>
                <w:rStyle w:val="Hiperhivatkozs"/>
                <w:noProof/>
              </w:rPr>
              <w:t>A D</w:t>
            </w:r>
            <w:r w:rsidR="004C3EC4" w:rsidRPr="00F367CC">
              <w:rPr>
                <w:rStyle w:val="Hiperhivatkozs"/>
                <w:noProof/>
                <w:vertAlign w:val="subscript"/>
              </w:rPr>
              <w:t>i</w:t>
            </w:r>
            <w:r w:rsidR="004C3EC4" w:rsidRPr="00F367CC">
              <w:rPr>
                <w:rStyle w:val="Hiperhivatkozs"/>
                <w:noProof/>
              </w:rPr>
              <w:t xml:space="preserve"> tényező számítása</w:t>
            </w:r>
            <w:r w:rsidR="004C3E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3EC4">
              <w:rPr>
                <w:noProof/>
                <w:webHidden/>
              </w:rPr>
              <w:instrText xml:space="preserve"> PAGEREF _Toc520117742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6B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EC4" w:rsidRDefault="001D3E31" w:rsidP="005124DF">
          <w:pPr>
            <w:pStyle w:val="TJ2"/>
            <w:tabs>
              <w:tab w:val="left" w:pos="1100"/>
              <w:tab w:val="right" w:pos="9629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520117743" w:history="1">
            <w:r w:rsidR="004C3EC4" w:rsidRPr="00F367CC">
              <w:rPr>
                <w:rStyle w:val="Hiperhivatkozs"/>
                <w:noProof/>
              </w:rPr>
              <w:t>3.10.</w:t>
            </w:r>
            <w:r w:rsidR="004C3E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3EC4" w:rsidRPr="00F367CC">
              <w:rPr>
                <w:rStyle w:val="Hiperhivatkozs"/>
                <w:noProof/>
              </w:rPr>
              <w:t>A D</w:t>
            </w:r>
            <w:r w:rsidR="004C3EC4" w:rsidRPr="00F367CC">
              <w:rPr>
                <w:rStyle w:val="Hiperhivatkozs"/>
                <w:noProof/>
                <w:vertAlign w:val="subscript"/>
              </w:rPr>
              <w:t>i</w:t>
            </w:r>
            <w:r w:rsidR="004C3EC4" w:rsidRPr="00F367CC">
              <w:rPr>
                <w:rStyle w:val="Hiperhivatkozs"/>
                <w:noProof/>
              </w:rPr>
              <w:t xml:space="preserve"> tényező változói</w:t>
            </w:r>
            <w:r w:rsidR="004C3E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3EC4">
              <w:rPr>
                <w:noProof/>
                <w:webHidden/>
              </w:rPr>
              <w:instrText xml:space="preserve"> PAGEREF _Toc520117743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6B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EC4" w:rsidRDefault="001D3E31" w:rsidP="005124DF">
          <w:pPr>
            <w:pStyle w:val="TJ1"/>
            <w:tabs>
              <w:tab w:val="left" w:pos="480"/>
              <w:tab w:val="right" w:pos="9629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520117763" w:history="1">
            <w:r w:rsidR="004C3EC4" w:rsidRPr="00F367CC">
              <w:rPr>
                <w:rStyle w:val="Hiperhivatkozs"/>
                <w:noProof/>
              </w:rPr>
              <w:t>4.</w:t>
            </w:r>
            <w:r w:rsidR="004C3E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3EC4" w:rsidRPr="00F367CC">
              <w:rPr>
                <w:rStyle w:val="Hiperhivatkozs"/>
                <w:noProof/>
              </w:rPr>
              <w:t>kosár felülvizsgálata</w:t>
            </w:r>
            <w:r w:rsidR="004C3E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3EC4">
              <w:rPr>
                <w:noProof/>
                <w:webHidden/>
              </w:rPr>
              <w:instrText xml:space="preserve"> PAGEREF _Toc520117763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6B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EC4" w:rsidRDefault="001D3E31" w:rsidP="005124DF">
          <w:pPr>
            <w:pStyle w:val="TJ2"/>
            <w:tabs>
              <w:tab w:val="left" w:pos="880"/>
              <w:tab w:val="right" w:pos="9629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520117764" w:history="1">
            <w:r w:rsidR="004C3EC4" w:rsidRPr="00F367CC">
              <w:rPr>
                <w:rStyle w:val="Hiperhivatkozs"/>
                <w:noProof/>
              </w:rPr>
              <w:t>4.1.</w:t>
            </w:r>
            <w:r w:rsidR="004C3E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3EC4" w:rsidRPr="00F367CC">
              <w:rPr>
                <w:rStyle w:val="Hiperhivatkozs"/>
                <w:noProof/>
              </w:rPr>
              <w:t>Az indexkosár felülvizsgálatának menete</w:t>
            </w:r>
            <w:r w:rsidR="004C3E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3EC4">
              <w:rPr>
                <w:noProof/>
                <w:webHidden/>
              </w:rPr>
              <w:instrText xml:space="preserve"> PAGEREF _Toc520117764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6B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EC4" w:rsidRDefault="001D3E31" w:rsidP="005124DF">
          <w:pPr>
            <w:pStyle w:val="TJ2"/>
            <w:tabs>
              <w:tab w:val="left" w:pos="880"/>
              <w:tab w:val="right" w:pos="9629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520117765" w:history="1">
            <w:r w:rsidR="004C3EC4" w:rsidRPr="00F367CC">
              <w:rPr>
                <w:rStyle w:val="Hiperhivatkozs"/>
                <w:noProof/>
              </w:rPr>
              <w:t>4.2.</w:t>
            </w:r>
            <w:r w:rsidR="004C3E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3EC4" w:rsidRPr="00F367CC">
              <w:rPr>
                <w:rStyle w:val="Hiperhivatkozs"/>
                <w:noProof/>
              </w:rPr>
              <w:t>Az indexkosár felülvizsgálatának időzítése</w:t>
            </w:r>
            <w:r w:rsidR="004C3E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3EC4">
              <w:rPr>
                <w:noProof/>
                <w:webHidden/>
              </w:rPr>
              <w:instrText xml:space="preserve"> PAGEREF _Toc520117765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6B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EC4" w:rsidRDefault="001D3E31" w:rsidP="005124DF">
          <w:pPr>
            <w:pStyle w:val="TJ3"/>
            <w:tabs>
              <w:tab w:val="left" w:pos="1320"/>
              <w:tab w:val="right" w:pos="9629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520117766" w:history="1">
            <w:r w:rsidR="004C3EC4" w:rsidRPr="00F367CC">
              <w:rPr>
                <w:rStyle w:val="Hiperhivatkozs"/>
                <w:noProof/>
              </w:rPr>
              <w:t>4.2.1.</w:t>
            </w:r>
            <w:r w:rsidR="004C3E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3EC4" w:rsidRPr="00F367CC">
              <w:rPr>
                <w:rStyle w:val="Hiperhivatkozs"/>
                <w:noProof/>
              </w:rPr>
              <w:t>Rendes felülvizsgálat</w:t>
            </w:r>
            <w:r w:rsidR="004C3E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3EC4">
              <w:rPr>
                <w:noProof/>
                <w:webHidden/>
              </w:rPr>
              <w:instrText xml:space="preserve"> PAGEREF _Toc520117766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6B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EC4" w:rsidRDefault="001D3E31" w:rsidP="005124DF">
          <w:pPr>
            <w:pStyle w:val="TJ3"/>
            <w:tabs>
              <w:tab w:val="left" w:pos="1320"/>
              <w:tab w:val="right" w:pos="9629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520117767" w:history="1">
            <w:r w:rsidR="004C3EC4" w:rsidRPr="00F367CC">
              <w:rPr>
                <w:rStyle w:val="Hiperhivatkozs"/>
                <w:noProof/>
              </w:rPr>
              <w:t>4.2.2.</w:t>
            </w:r>
            <w:r w:rsidR="004C3E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3EC4" w:rsidRPr="00F367CC">
              <w:rPr>
                <w:rStyle w:val="Hiperhivatkozs"/>
                <w:noProof/>
              </w:rPr>
              <w:t>Rendkívüli felülvizsgálat</w:t>
            </w:r>
            <w:r w:rsidR="004C3E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3EC4">
              <w:rPr>
                <w:noProof/>
                <w:webHidden/>
              </w:rPr>
              <w:instrText xml:space="preserve"> PAGEREF _Toc520117767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6B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EC4" w:rsidRDefault="001D3E31" w:rsidP="005124DF">
          <w:pPr>
            <w:pStyle w:val="TJ2"/>
            <w:tabs>
              <w:tab w:val="left" w:pos="880"/>
              <w:tab w:val="right" w:pos="9629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520117768" w:history="1">
            <w:r w:rsidR="004C3EC4" w:rsidRPr="00F367CC">
              <w:rPr>
                <w:rStyle w:val="Hiperhivatkozs"/>
                <w:noProof/>
              </w:rPr>
              <w:t>4.3.</w:t>
            </w:r>
            <w:r w:rsidR="004C3E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3EC4" w:rsidRPr="00F367CC">
              <w:rPr>
                <w:rStyle w:val="Hiperhivatkozs"/>
                <w:noProof/>
              </w:rPr>
              <w:t>Az új indexkosár bevezetését megelőző módosítások</w:t>
            </w:r>
            <w:r w:rsidR="004C3E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3EC4">
              <w:rPr>
                <w:noProof/>
                <w:webHidden/>
              </w:rPr>
              <w:instrText xml:space="preserve"> PAGEREF _Toc520117768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6B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EC4" w:rsidRDefault="001D3E31" w:rsidP="005124DF">
          <w:pPr>
            <w:pStyle w:val="TJ2"/>
            <w:tabs>
              <w:tab w:val="left" w:pos="880"/>
              <w:tab w:val="right" w:pos="9629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520117769" w:history="1">
            <w:r w:rsidR="004C3EC4" w:rsidRPr="00F367CC">
              <w:rPr>
                <w:rStyle w:val="Hiperhivatkozs"/>
                <w:noProof/>
              </w:rPr>
              <w:t>4.4.</w:t>
            </w:r>
            <w:r w:rsidR="004C3E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3EC4" w:rsidRPr="00F367CC">
              <w:rPr>
                <w:rStyle w:val="Hiperhivatkozs"/>
                <w:noProof/>
              </w:rPr>
              <w:t>A K korrekciós tényező számításának módja</w:t>
            </w:r>
            <w:r w:rsidR="004C3E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3EC4">
              <w:rPr>
                <w:noProof/>
                <w:webHidden/>
              </w:rPr>
              <w:instrText xml:space="preserve"> PAGEREF _Toc520117769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6B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EC4" w:rsidRDefault="001D3E31" w:rsidP="000C2AF2">
          <w:pPr>
            <w:pStyle w:val="TJ2"/>
            <w:tabs>
              <w:tab w:val="left" w:pos="880"/>
              <w:tab w:val="right" w:pos="9629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520117770" w:history="1">
            <w:r w:rsidR="004C3EC4" w:rsidRPr="00F367CC">
              <w:rPr>
                <w:rStyle w:val="Hiperhivatkozs"/>
                <w:noProof/>
              </w:rPr>
              <w:t>4.5.</w:t>
            </w:r>
            <w:r w:rsidR="004C3E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3EC4" w:rsidRPr="00F367CC">
              <w:rPr>
                <w:rStyle w:val="Hiperhivatkozs"/>
                <w:noProof/>
              </w:rPr>
              <w:t>A K korrekciós tényező változói</w:t>
            </w:r>
            <w:r w:rsidR="004C3E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3EC4">
              <w:rPr>
                <w:noProof/>
                <w:webHidden/>
              </w:rPr>
              <w:instrText xml:space="preserve"> PAGEREF _Toc520117770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6B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EC4" w:rsidRDefault="001D3E31" w:rsidP="000C2AF2">
          <w:pPr>
            <w:pStyle w:val="TJ2"/>
            <w:tabs>
              <w:tab w:val="left" w:pos="880"/>
              <w:tab w:val="right" w:pos="9629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520117771" w:history="1">
            <w:r w:rsidR="004C3EC4" w:rsidRPr="00F367CC">
              <w:rPr>
                <w:rStyle w:val="Hiperhivatkozs"/>
                <w:noProof/>
              </w:rPr>
              <w:t>4.6.</w:t>
            </w:r>
            <w:r w:rsidR="004C3E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3EC4" w:rsidRPr="00F367CC">
              <w:rPr>
                <w:rStyle w:val="Hiperhivatkozs"/>
                <w:noProof/>
              </w:rPr>
              <w:t>Közzététel</w:t>
            </w:r>
            <w:r w:rsidR="004C3E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3EC4">
              <w:rPr>
                <w:noProof/>
                <w:webHidden/>
              </w:rPr>
              <w:instrText xml:space="preserve"> PAGEREF _Toc520117771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6B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EC4" w:rsidRDefault="001D3E31" w:rsidP="005124DF">
          <w:pPr>
            <w:pStyle w:val="TJ1"/>
            <w:tabs>
              <w:tab w:val="left" w:pos="480"/>
              <w:tab w:val="right" w:pos="9629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520117772" w:history="1">
            <w:r w:rsidR="004C3EC4" w:rsidRPr="00F367CC">
              <w:rPr>
                <w:rStyle w:val="Hiperhivatkozs"/>
                <w:noProof/>
              </w:rPr>
              <w:t>5.</w:t>
            </w:r>
            <w:r w:rsidR="004C3E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3EC4" w:rsidRPr="00F367CC">
              <w:rPr>
                <w:rStyle w:val="Hiperhivatkozs"/>
                <w:noProof/>
              </w:rPr>
              <w:t>Publikáció</w:t>
            </w:r>
            <w:r w:rsidR="004C3E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3EC4">
              <w:rPr>
                <w:noProof/>
                <w:webHidden/>
              </w:rPr>
              <w:instrText xml:space="preserve"> PAGEREF _Toc520117772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6B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EC4" w:rsidRDefault="001D3E31" w:rsidP="005124DF">
          <w:pPr>
            <w:pStyle w:val="TJ1"/>
            <w:tabs>
              <w:tab w:val="left" w:pos="480"/>
              <w:tab w:val="right" w:pos="9629"/>
            </w:tabs>
            <w:spacing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520117773" w:history="1">
            <w:r w:rsidR="004C3EC4" w:rsidRPr="00F367CC">
              <w:rPr>
                <w:rStyle w:val="Hiperhivatkozs"/>
                <w:noProof/>
              </w:rPr>
              <w:t>6.</w:t>
            </w:r>
            <w:r w:rsidR="004C3EC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3EC4" w:rsidRPr="00F367CC">
              <w:rPr>
                <w:rStyle w:val="Hiperhivatkozs"/>
                <w:noProof/>
              </w:rPr>
              <w:t>Kézikönyv felülvizsgálata</w:t>
            </w:r>
            <w:r w:rsidR="004C3E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3EC4">
              <w:rPr>
                <w:noProof/>
                <w:webHidden/>
              </w:rPr>
              <w:instrText xml:space="preserve"> PAGEREF _Toc520117773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76B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3EC4" w:rsidRDefault="001D3E31" w:rsidP="000C2AF2">
          <w:pPr>
            <w:spacing w:line="276" w:lineRule="auto"/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78397B" w:rsidRDefault="0078397B" w:rsidP="000C2AF2">
      <w:pPr>
        <w:spacing w:line="276" w:lineRule="auto"/>
        <w:rPr>
          <w:noProof/>
        </w:rPr>
      </w:pPr>
    </w:p>
    <w:p w:rsidR="00D47442" w:rsidRDefault="00D47442" w:rsidP="000C2AF2">
      <w:pPr>
        <w:pStyle w:val="TJ1"/>
        <w:tabs>
          <w:tab w:val="left" w:pos="480"/>
          <w:tab w:val="right" w:pos="9629"/>
        </w:tabs>
        <w:spacing w:line="276" w:lineRule="auto"/>
        <w:rPr>
          <w:rFonts w:asciiTheme="minorHAnsi" w:eastAsiaTheme="minorEastAsia" w:hAnsiTheme="minorHAnsi" w:cstheme="minorBidi"/>
          <w:noProof/>
          <w:sz w:val="22"/>
          <w:szCs w:val="22"/>
          <w:lang w:eastAsia="hu-HU"/>
        </w:rPr>
      </w:pPr>
    </w:p>
    <w:p w:rsidR="00F343C1" w:rsidRDefault="001D3E31" w:rsidP="000C2AF2">
      <w:pPr>
        <w:spacing w:line="276" w:lineRule="auto"/>
      </w:pPr>
      <w:r>
        <w:fldChar w:fldCharType="end"/>
      </w:r>
    </w:p>
    <w:p w:rsidR="004C05AC" w:rsidRPr="000C2AF2" w:rsidRDefault="004C05AC" w:rsidP="000C2AF2">
      <w:pPr>
        <w:pStyle w:val="TJ1"/>
        <w:tabs>
          <w:tab w:val="left" w:pos="440"/>
          <w:tab w:val="right" w:leader="dot" w:pos="9629"/>
        </w:tabs>
        <w:spacing w:line="276" w:lineRule="auto"/>
        <w:rPr>
          <w:b/>
        </w:rPr>
      </w:pPr>
    </w:p>
    <w:p w:rsidR="0089602B" w:rsidRDefault="0089602B" w:rsidP="000C2AF2">
      <w:pPr>
        <w:spacing w:line="276" w:lineRule="auto"/>
        <w:jc w:val="left"/>
        <w:rPr>
          <w:b/>
        </w:rPr>
      </w:pPr>
      <w:r>
        <w:br w:type="page"/>
      </w:r>
    </w:p>
    <w:p w:rsidR="002833E7" w:rsidRPr="00C5720D" w:rsidRDefault="00D61B96" w:rsidP="000C2AF2">
      <w:pPr>
        <w:pStyle w:val="Cmsor1"/>
        <w:spacing w:line="276" w:lineRule="auto"/>
        <w:rPr>
          <w:b w:val="0"/>
        </w:rPr>
      </w:pPr>
      <w:bookmarkStart w:id="1" w:name="_Toc520106575"/>
      <w:bookmarkStart w:id="2" w:name="_Toc520106581"/>
      <w:bookmarkStart w:id="3" w:name="_Toc520106625"/>
      <w:bookmarkStart w:id="4" w:name="_Toc520116536"/>
      <w:bookmarkStart w:id="5" w:name="_Toc520116586"/>
      <w:bookmarkStart w:id="6" w:name="_Toc520117582"/>
      <w:bookmarkStart w:id="7" w:name="_Toc520117726"/>
      <w:r>
        <w:lastRenderedPageBreak/>
        <w:t>Bevezetés</w:t>
      </w:r>
      <w:bookmarkEnd w:id="1"/>
      <w:bookmarkEnd w:id="2"/>
      <w:bookmarkEnd w:id="3"/>
      <w:bookmarkEnd w:id="4"/>
      <w:bookmarkEnd w:id="5"/>
      <w:bookmarkEnd w:id="6"/>
      <w:bookmarkEnd w:id="7"/>
    </w:p>
    <w:p w:rsidR="002833E7" w:rsidRDefault="002833E7" w:rsidP="000C2AF2">
      <w:pPr>
        <w:pStyle w:val="Szvegtrzsbehzssal2"/>
        <w:spacing w:before="0" w:after="120" w:line="276" w:lineRule="auto"/>
        <w:ind w:firstLine="0"/>
      </w:pPr>
      <w:r>
        <w:t xml:space="preserve">A hazai intézményesült ingatlanbefektetések jelentőségének növekedésével és a befektetési forma intézményi vagyonkezelésen belül történő elterjedésével együtt egyre nagyobb igény fogalmazódott meg az ilyen jellegű befektetések teljesítménymérési hátterének megteremtése iránt is. Szükségessé vált egy olyan referenciaindex megalkotása, </w:t>
      </w:r>
      <w:r w:rsidR="00E86923">
        <w:t>a</w:t>
      </w:r>
      <w:r>
        <w:t>mely lehetővé teszi a hazai ingatlanbefektetések relatív teljesítményének értékelését és beillesztését a vagyonkezelés hagyományos teljesítménymérési eszköztárába.</w:t>
      </w:r>
    </w:p>
    <w:p w:rsidR="006657FE" w:rsidRDefault="00FA2AE8" w:rsidP="000C2AF2">
      <w:pPr>
        <w:pStyle w:val="Szvegtrzsbehzssal2"/>
        <w:spacing w:before="0" w:after="120" w:line="276" w:lineRule="auto"/>
        <w:ind w:firstLine="0"/>
      </w:pPr>
      <w:r w:rsidRPr="00FA2AE8">
        <w:t xml:space="preserve">Tekintettel az ingatlanpiac értékpapír piacokhoz képest lényegesen alacsonyabb transzparenciájára, valamint a napi szintű árinformáció hiányára, az index számítása közvetlen módon (az ingatlanárak </w:t>
      </w:r>
      <w:r>
        <w:t xml:space="preserve">napi </w:t>
      </w:r>
      <w:r w:rsidRPr="00FA2AE8">
        <w:t>változása alapján) nem megoldható. Napi szintű,</w:t>
      </w:r>
      <w:r w:rsidR="00F1051E">
        <w:t xml:space="preserve"> transzparens,</w:t>
      </w:r>
      <w:r w:rsidRPr="00FA2AE8">
        <w:t xml:space="preserve"> </w:t>
      </w:r>
      <w:r w:rsidR="00DE37E1" w:rsidRPr="00DE37E1">
        <w:t>nyomon követhető és ellenőrizhető</w:t>
      </w:r>
      <w:r w:rsidRPr="00FA2AE8">
        <w:t>, az ingatlanpiaci folyamatokat tükröző információ</w:t>
      </w:r>
      <w:r w:rsidR="00DE37E1">
        <w:t xml:space="preserve">val </w:t>
      </w:r>
      <w:r w:rsidR="00B8361D">
        <w:t xml:space="preserve">a nyilvános </w:t>
      </w:r>
      <w:r w:rsidRPr="00FA2AE8">
        <w:t>ingatlanbefektetési alapok árfolyama szolgál.</w:t>
      </w:r>
    </w:p>
    <w:p w:rsidR="00D61B96" w:rsidRDefault="00D61B96" w:rsidP="000C2AF2">
      <w:pPr>
        <w:pStyle w:val="Cmsor1"/>
        <w:spacing w:line="276" w:lineRule="auto"/>
        <w:ind w:left="357" w:hanging="357"/>
      </w:pPr>
      <w:bookmarkStart w:id="8" w:name="_Toc520106576"/>
      <w:bookmarkStart w:id="9" w:name="_Toc520106582"/>
      <w:bookmarkStart w:id="10" w:name="_Toc520106626"/>
      <w:bookmarkStart w:id="11" w:name="_Toc520116537"/>
      <w:bookmarkStart w:id="12" w:name="_Toc520116587"/>
      <w:bookmarkStart w:id="13" w:name="_Toc520117583"/>
      <w:bookmarkStart w:id="14" w:name="_Toc520117727"/>
      <w:r>
        <w:t>Az index célja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725B1D" w:rsidRDefault="002833E7" w:rsidP="000C2AF2">
      <w:pPr>
        <w:pStyle w:val="Szvegtrzsbehzssal2"/>
        <w:spacing w:before="0" w:after="120" w:line="276" w:lineRule="auto"/>
        <w:ind w:firstLine="0"/>
      </w:pPr>
      <w:r>
        <w:t>A</w:t>
      </w:r>
      <w:r w:rsidR="004C012F">
        <w:t xml:space="preserve"> BIX index</w:t>
      </w:r>
      <w:r w:rsidR="00D14385">
        <w:t xml:space="preserve"> alapvető </w:t>
      </w:r>
      <w:r>
        <w:t>cél</w:t>
      </w:r>
      <w:r w:rsidR="004C012F">
        <w:t>ja</w:t>
      </w:r>
      <w:r w:rsidR="00B8361D">
        <w:t xml:space="preserve"> a hazai nyilvános, nyílt végű </w:t>
      </w:r>
      <w:r w:rsidR="00C52BD3">
        <w:t>ingatlanalapok átlagos teljesítményének mérése</w:t>
      </w:r>
      <w:r w:rsidR="00387FBE">
        <w:t>,</w:t>
      </w:r>
      <w:r w:rsidR="000655E0">
        <w:t xml:space="preserve"> </w:t>
      </w:r>
      <w:r w:rsidR="005958F2">
        <w:t>illetve, hogy</w:t>
      </w:r>
      <w:r w:rsidR="000655E0">
        <w:t xml:space="preserve"> ezen ingatlanalapoknak a bázisidőponthoz viszonyított értékváltozásait mutassa</w:t>
      </w:r>
      <w:r w:rsidR="005958F2">
        <w:t>.</w:t>
      </w:r>
      <w:r w:rsidR="00E90F59">
        <w:t xml:space="preserve"> </w:t>
      </w:r>
      <w:r w:rsidR="005958F2">
        <w:t xml:space="preserve">Az index létrehozásának célja </w:t>
      </w:r>
      <w:r w:rsidR="000367BD">
        <w:t>ezáltal</w:t>
      </w:r>
      <w:r w:rsidR="00475EC1">
        <w:t xml:space="preserve"> a hazai intéz</w:t>
      </w:r>
      <w:r w:rsidR="00B2239D">
        <w:t>ményi ingatlanbefektetési piac alakulásának nyomon követésére alkalmas</w:t>
      </w:r>
      <w:r w:rsidR="00F1051E">
        <w:t xml:space="preserve">, </w:t>
      </w:r>
      <w:r w:rsidR="00F1051E" w:rsidRPr="00F1051E">
        <w:t>hossz</w:t>
      </w:r>
      <w:r w:rsidR="00F1051E" w:rsidRPr="00F1051E">
        <w:rPr>
          <w:rFonts w:hint="eastAsia"/>
        </w:rPr>
        <w:t>ú</w:t>
      </w:r>
      <w:r w:rsidR="00F1051E" w:rsidRPr="00F1051E">
        <w:t xml:space="preserve"> t</w:t>
      </w:r>
      <w:r w:rsidR="00F1051E" w:rsidRPr="00F1051E">
        <w:rPr>
          <w:rFonts w:hint="eastAsia"/>
        </w:rPr>
        <w:t>á</w:t>
      </w:r>
      <w:r w:rsidR="00F1051E" w:rsidRPr="00F1051E">
        <w:t xml:space="preserve">von </w:t>
      </w:r>
      <w:r w:rsidR="00F1051E" w:rsidRPr="00F1051E">
        <w:rPr>
          <w:rFonts w:hint="eastAsia"/>
        </w:rPr>
        <w:t>é</w:t>
      </w:r>
      <w:r w:rsidR="00F1051E" w:rsidRPr="00F1051E">
        <w:t>s napi szinten kisz</w:t>
      </w:r>
      <w:r w:rsidR="00F1051E" w:rsidRPr="00F1051E">
        <w:rPr>
          <w:rFonts w:hint="eastAsia"/>
        </w:rPr>
        <w:t>á</w:t>
      </w:r>
      <w:r w:rsidR="00F1051E" w:rsidRPr="00F1051E">
        <w:t>m</w:t>
      </w:r>
      <w:r w:rsidR="00F1051E" w:rsidRPr="00F1051E">
        <w:rPr>
          <w:rFonts w:hint="eastAsia"/>
        </w:rPr>
        <w:t>í</w:t>
      </w:r>
      <w:r w:rsidR="00F1051E" w:rsidRPr="00F1051E">
        <w:t>that</w:t>
      </w:r>
      <w:r w:rsidR="00F1051E" w:rsidRPr="00F1051E">
        <w:rPr>
          <w:rFonts w:hint="eastAsia"/>
        </w:rPr>
        <w:t>ó</w:t>
      </w:r>
      <w:r w:rsidR="00F1051E" w:rsidRPr="00F1051E">
        <w:t xml:space="preserve"> mutat</w:t>
      </w:r>
      <w:r w:rsidR="00F1051E" w:rsidRPr="00F1051E">
        <w:rPr>
          <w:rFonts w:hint="eastAsia"/>
        </w:rPr>
        <w:t>ó</w:t>
      </w:r>
      <w:r w:rsidR="00F1051E" w:rsidRPr="00F1051E">
        <w:t>sz</w:t>
      </w:r>
      <w:r w:rsidR="00F1051E" w:rsidRPr="00F1051E">
        <w:rPr>
          <w:rFonts w:hint="eastAsia"/>
        </w:rPr>
        <w:t>á</w:t>
      </w:r>
      <w:r w:rsidR="00F1051E" w:rsidRPr="00F1051E">
        <w:t>m megalkot</w:t>
      </w:r>
      <w:r w:rsidR="00F1051E" w:rsidRPr="00F1051E">
        <w:rPr>
          <w:rFonts w:hint="eastAsia"/>
        </w:rPr>
        <w:t>á</w:t>
      </w:r>
      <w:r w:rsidR="00F1051E" w:rsidRPr="00F1051E">
        <w:t>sa volt.</w:t>
      </w:r>
      <w:r w:rsidR="00331FD8">
        <w:t xml:space="preserve"> Az index feladata, hogy a hazai nyilvános ingatlanalap</w:t>
      </w:r>
      <w:r w:rsidR="001E5F7E">
        <w:t xml:space="preserve">ok </w:t>
      </w:r>
      <w:r w:rsidR="00331FD8" w:rsidRPr="00331FD8">
        <w:t xml:space="preserve">teljesítményéről minél pontosabb </w:t>
      </w:r>
      <w:r w:rsidR="001E5F7E">
        <w:t xml:space="preserve">és </w:t>
      </w:r>
      <w:r w:rsidR="00331FD8" w:rsidRPr="00331FD8">
        <w:t xml:space="preserve">átfogó, a piac átlagos teljesítményének megítélésére alkalmas képet </w:t>
      </w:r>
      <w:r w:rsidR="001E5F7E">
        <w:t>mutasson</w:t>
      </w:r>
      <w:r w:rsidR="00331FD8" w:rsidRPr="00331FD8">
        <w:t>.</w:t>
      </w:r>
    </w:p>
    <w:p w:rsidR="002833E7" w:rsidRDefault="002833E7" w:rsidP="000C2AF2">
      <w:pPr>
        <w:pStyle w:val="Cmsor1"/>
        <w:spacing w:line="276" w:lineRule="auto"/>
        <w:ind w:left="357" w:hanging="357"/>
      </w:pPr>
      <w:bookmarkStart w:id="15" w:name="_Toc520112537"/>
      <w:bookmarkStart w:id="16" w:name="_Toc520116538"/>
      <w:bookmarkStart w:id="17" w:name="_Toc520116588"/>
      <w:bookmarkStart w:id="18" w:name="_Toc520117584"/>
      <w:bookmarkStart w:id="19" w:name="_Toc520117728"/>
      <w:bookmarkStart w:id="20" w:name="_Toc520106577"/>
      <w:bookmarkStart w:id="21" w:name="_Toc520106583"/>
      <w:bookmarkStart w:id="22" w:name="_Toc520106627"/>
      <w:bookmarkStart w:id="23" w:name="_Toc520112538"/>
      <w:bookmarkStart w:id="24" w:name="_Toc520116539"/>
      <w:bookmarkStart w:id="25" w:name="_Toc520116589"/>
      <w:bookmarkStart w:id="26" w:name="_Toc520117585"/>
      <w:bookmarkStart w:id="27" w:name="_Toc520117729"/>
      <w:bookmarkStart w:id="28" w:name="_Toc520106578"/>
      <w:bookmarkStart w:id="29" w:name="_Toc520106584"/>
      <w:bookmarkStart w:id="30" w:name="_Toc520106628"/>
      <w:bookmarkStart w:id="31" w:name="_Toc520112539"/>
      <w:bookmarkStart w:id="32" w:name="_Toc520116540"/>
      <w:bookmarkStart w:id="33" w:name="_Toc520116590"/>
      <w:bookmarkStart w:id="34" w:name="_Toc520117586"/>
      <w:bookmarkStart w:id="35" w:name="_Toc520117730"/>
      <w:bookmarkStart w:id="36" w:name="_Toc520106579"/>
      <w:bookmarkStart w:id="37" w:name="_Toc520106585"/>
      <w:bookmarkStart w:id="38" w:name="_Toc520106629"/>
      <w:bookmarkStart w:id="39" w:name="_Toc520112540"/>
      <w:bookmarkStart w:id="40" w:name="_Toc520116541"/>
      <w:bookmarkStart w:id="41" w:name="_Toc520116591"/>
      <w:bookmarkStart w:id="42" w:name="_Toc520117587"/>
      <w:bookmarkStart w:id="43" w:name="_Toc520117731"/>
      <w:bookmarkStart w:id="44" w:name="_Toc520106580"/>
      <w:bookmarkStart w:id="45" w:name="_Toc520106586"/>
      <w:bookmarkStart w:id="46" w:name="_Toc520106630"/>
      <w:bookmarkStart w:id="47" w:name="_Toc520116542"/>
      <w:bookmarkStart w:id="48" w:name="_Toc520116592"/>
      <w:bookmarkStart w:id="49" w:name="_Toc520117588"/>
      <w:bookmarkStart w:id="50" w:name="_Toc520117732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>
        <w:t>Az index leírása</w:t>
      </w:r>
      <w:bookmarkEnd w:id="44"/>
      <w:bookmarkEnd w:id="45"/>
      <w:bookmarkEnd w:id="46"/>
      <w:bookmarkEnd w:id="47"/>
      <w:bookmarkEnd w:id="48"/>
      <w:bookmarkEnd w:id="49"/>
      <w:bookmarkEnd w:id="50"/>
    </w:p>
    <w:p w:rsidR="002833E7" w:rsidRPr="00BD3E21" w:rsidRDefault="002833E7" w:rsidP="000C2AF2">
      <w:pPr>
        <w:pStyle w:val="Cmsor2"/>
        <w:spacing w:line="276" w:lineRule="auto"/>
        <w:rPr>
          <w:i w:val="0"/>
        </w:rPr>
      </w:pPr>
      <w:bookmarkStart w:id="51" w:name="_Toc520112542"/>
      <w:bookmarkStart w:id="52" w:name="_Toc520116543"/>
      <w:bookmarkStart w:id="53" w:name="_Toc520116593"/>
      <w:bookmarkStart w:id="54" w:name="_Toc520117589"/>
      <w:bookmarkStart w:id="55" w:name="_Toc520117733"/>
      <w:bookmarkStart w:id="56" w:name="_Toc520116544"/>
      <w:bookmarkStart w:id="57" w:name="_Toc520116594"/>
      <w:bookmarkStart w:id="58" w:name="_Toc520117590"/>
      <w:bookmarkStart w:id="59" w:name="_Toc520117734"/>
      <w:bookmarkEnd w:id="51"/>
      <w:bookmarkEnd w:id="52"/>
      <w:bookmarkEnd w:id="53"/>
      <w:bookmarkEnd w:id="54"/>
      <w:bookmarkEnd w:id="55"/>
      <w:r w:rsidRPr="00BD3E21">
        <w:t>Az index elnevez</w:t>
      </w:r>
      <w:r w:rsidRPr="00BD3E21">
        <w:rPr>
          <w:rFonts w:hint="eastAsia"/>
        </w:rPr>
        <w:t>é</w:t>
      </w:r>
      <w:r w:rsidRPr="00BD3E21">
        <w:t>se</w:t>
      </w:r>
      <w:bookmarkEnd w:id="56"/>
      <w:bookmarkEnd w:id="57"/>
      <w:bookmarkEnd w:id="58"/>
      <w:bookmarkEnd w:id="59"/>
    </w:p>
    <w:p w:rsidR="001E0588" w:rsidRDefault="001E0588" w:rsidP="000C2AF2">
      <w:pPr>
        <w:spacing w:after="120" w:line="276" w:lineRule="auto"/>
        <w:ind w:left="567"/>
      </w:pPr>
      <w:r w:rsidRPr="001E0588">
        <w:t>Az index hivatalos neve:</w:t>
      </w:r>
      <w:r>
        <w:t xml:space="preserve"> </w:t>
      </w:r>
      <w:r w:rsidR="002833E7">
        <w:t>BAMOSZ Ingatlanalap Index</w:t>
      </w:r>
    </w:p>
    <w:p w:rsidR="002833E7" w:rsidRDefault="001E0588" w:rsidP="000C2AF2">
      <w:pPr>
        <w:spacing w:after="120" w:line="276" w:lineRule="auto"/>
        <w:ind w:left="567"/>
      </w:pPr>
      <w:r w:rsidRPr="001E0588">
        <w:t>Az index rövidítése:</w:t>
      </w:r>
      <w:r>
        <w:t xml:space="preserve"> BIX</w:t>
      </w:r>
    </w:p>
    <w:p w:rsidR="002833E7" w:rsidRPr="00F87878" w:rsidRDefault="002833E7" w:rsidP="000C2AF2">
      <w:pPr>
        <w:pStyle w:val="Cmsor2"/>
        <w:spacing w:line="276" w:lineRule="auto"/>
        <w:rPr>
          <w:i w:val="0"/>
        </w:rPr>
      </w:pPr>
      <w:bookmarkStart w:id="60" w:name="_Toc520116545"/>
      <w:bookmarkStart w:id="61" w:name="_Toc520116595"/>
      <w:bookmarkStart w:id="62" w:name="_Toc520117591"/>
      <w:bookmarkStart w:id="63" w:name="_Toc520117735"/>
      <w:r>
        <w:t>Az indextagok lehetséges köre</w:t>
      </w:r>
      <w:bookmarkEnd w:id="60"/>
      <w:bookmarkEnd w:id="61"/>
      <w:bookmarkEnd w:id="62"/>
      <w:bookmarkEnd w:id="63"/>
    </w:p>
    <w:p w:rsidR="00F87878" w:rsidRDefault="00F87878" w:rsidP="000C2AF2">
      <w:pPr>
        <w:spacing w:after="120" w:line="276" w:lineRule="auto"/>
        <w:ind w:left="567"/>
      </w:pPr>
      <w:r>
        <w:t>A</w:t>
      </w:r>
      <w:r w:rsidRPr="00F87878">
        <w:t xml:space="preserve"> BIX index eset</w:t>
      </w:r>
      <w:r w:rsidRPr="00F87878">
        <w:rPr>
          <w:rFonts w:hint="eastAsia"/>
        </w:rPr>
        <w:t>é</w:t>
      </w:r>
      <w:r w:rsidRPr="00F87878">
        <w:t xml:space="preserve">ben is, </w:t>
      </w:r>
      <w:r w:rsidRPr="00F87878">
        <w:rPr>
          <w:rFonts w:hint="eastAsia"/>
        </w:rPr>
        <w:t>á</w:t>
      </w:r>
      <w:r w:rsidRPr="00F87878">
        <w:t>ltal</w:t>
      </w:r>
      <w:r w:rsidRPr="00F87878">
        <w:rPr>
          <w:rFonts w:hint="eastAsia"/>
        </w:rPr>
        <w:t>á</w:t>
      </w:r>
      <w:r w:rsidRPr="00F87878">
        <w:t>nos szakmai elv</w:t>
      </w:r>
      <w:r w:rsidRPr="00F87878">
        <w:rPr>
          <w:rFonts w:hint="eastAsia"/>
        </w:rPr>
        <w:t>á</w:t>
      </w:r>
      <w:r w:rsidRPr="00F87878">
        <w:t>r</w:t>
      </w:r>
      <w:r w:rsidRPr="00F87878">
        <w:rPr>
          <w:rFonts w:hint="eastAsia"/>
        </w:rPr>
        <w:t>á</w:t>
      </w:r>
      <w:r w:rsidRPr="00F87878">
        <w:t xml:space="preserve">s, hogy az index </w:t>
      </w:r>
      <w:r w:rsidRPr="00F87878">
        <w:rPr>
          <w:rFonts w:hint="eastAsia"/>
        </w:rPr>
        <w:t>ö</w:t>
      </w:r>
      <w:r w:rsidRPr="00F87878">
        <w:t>sszet</w:t>
      </w:r>
      <w:r w:rsidRPr="00F87878">
        <w:rPr>
          <w:rFonts w:hint="eastAsia"/>
        </w:rPr>
        <w:t>é</w:t>
      </w:r>
      <w:r w:rsidRPr="00F87878">
        <w:t xml:space="preserve">tele </w:t>
      </w:r>
      <w:r w:rsidRPr="00F87878">
        <w:rPr>
          <w:rFonts w:hint="eastAsia"/>
        </w:rPr>
        <w:t>ú</w:t>
      </w:r>
      <w:r w:rsidRPr="00F87878">
        <w:t>gy ker</w:t>
      </w:r>
      <w:r w:rsidRPr="00F87878">
        <w:rPr>
          <w:rFonts w:hint="eastAsia"/>
        </w:rPr>
        <w:t>ü</w:t>
      </w:r>
      <w:r w:rsidRPr="00F87878">
        <w:t>lj</w:t>
      </w:r>
      <w:r w:rsidRPr="00F87878">
        <w:rPr>
          <w:rFonts w:hint="eastAsia"/>
        </w:rPr>
        <w:t>ö</w:t>
      </w:r>
      <w:r w:rsidRPr="00F87878">
        <w:t>n meghat</w:t>
      </w:r>
      <w:r w:rsidRPr="00F87878">
        <w:rPr>
          <w:rFonts w:hint="eastAsia"/>
        </w:rPr>
        <w:t>á</w:t>
      </w:r>
      <w:r w:rsidRPr="00F87878">
        <w:t>roz</w:t>
      </w:r>
      <w:r w:rsidRPr="00F87878">
        <w:rPr>
          <w:rFonts w:hint="eastAsia"/>
        </w:rPr>
        <w:t>á</w:t>
      </w:r>
      <w:r w:rsidRPr="00F87878">
        <w:t>sra, hogy az index teljes</w:t>
      </w:r>
      <w:r w:rsidRPr="00F87878">
        <w:rPr>
          <w:rFonts w:hint="eastAsia"/>
        </w:rPr>
        <w:t>í</w:t>
      </w:r>
      <w:r w:rsidRPr="00F87878">
        <w:t>tm</w:t>
      </w:r>
      <w:r w:rsidRPr="00F87878">
        <w:rPr>
          <w:rFonts w:hint="eastAsia"/>
        </w:rPr>
        <w:t>é</w:t>
      </w:r>
      <w:r w:rsidRPr="00F87878">
        <w:t>nye a befektet</w:t>
      </w:r>
      <w:r w:rsidRPr="00F87878">
        <w:rPr>
          <w:rFonts w:hint="eastAsia"/>
        </w:rPr>
        <w:t>ő</w:t>
      </w:r>
      <w:r w:rsidRPr="00F87878">
        <w:t xml:space="preserve">k </w:t>
      </w:r>
      <w:r w:rsidRPr="00F87878">
        <w:rPr>
          <w:rFonts w:hint="eastAsia"/>
        </w:rPr>
        <w:t>é</w:t>
      </w:r>
      <w:r w:rsidRPr="00F87878">
        <w:t>s vagyonkezel</w:t>
      </w:r>
      <w:r w:rsidRPr="00F87878">
        <w:rPr>
          <w:rFonts w:hint="eastAsia"/>
        </w:rPr>
        <w:t>ő</w:t>
      </w:r>
      <w:r w:rsidRPr="00F87878">
        <w:t>k sz</w:t>
      </w:r>
      <w:r w:rsidRPr="00F87878">
        <w:rPr>
          <w:rFonts w:hint="eastAsia"/>
        </w:rPr>
        <w:t>é</w:t>
      </w:r>
      <w:r w:rsidRPr="00F87878">
        <w:t>les k</w:t>
      </w:r>
      <w:r w:rsidRPr="00F87878">
        <w:rPr>
          <w:rFonts w:hint="eastAsia"/>
        </w:rPr>
        <w:t>ö</w:t>
      </w:r>
      <w:r w:rsidRPr="00F87878">
        <w:t>re sz</w:t>
      </w:r>
      <w:r w:rsidRPr="00F87878">
        <w:rPr>
          <w:rFonts w:hint="eastAsia"/>
        </w:rPr>
        <w:t>á</w:t>
      </w:r>
      <w:r w:rsidRPr="00F87878">
        <w:t>m</w:t>
      </w:r>
      <w:r w:rsidRPr="00F87878">
        <w:rPr>
          <w:rFonts w:hint="eastAsia"/>
        </w:rPr>
        <w:t>á</w:t>
      </w:r>
      <w:r w:rsidRPr="00F87878">
        <w:t>ra is lek</w:t>
      </w:r>
      <w:r w:rsidRPr="00F87878">
        <w:rPr>
          <w:rFonts w:hint="eastAsia"/>
        </w:rPr>
        <w:t>é</w:t>
      </w:r>
      <w:r w:rsidRPr="00F87878">
        <w:t>pezhet</w:t>
      </w:r>
      <w:r w:rsidRPr="00F87878">
        <w:rPr>
          <w:rFonts w:hint="eastAsia"/>
        </w:rPr>
        <w:t>ő</w:t>
      </w:r>
      <w:r w:rsidRPr="00F87878">
        <w:t xml:space="preserve"> </w:t>
      </w:r>
      <w:r w:rsidRPr="00F87878">
        <w:rPr>
          <w:rFonts w:hint="eastAsia"/>
        </w:rPr>
        <w:t>é</w:t>
      </w:r>
      <w:r w:rsidRPr="00F87878">
        <w:t>s lek</w:t>
      </w:r>
      <w:r w:rsidRPr="00F87878">
        <w:rPr>
          <w:rFonts w:hint="eastAsia"/>
        </w:rPr>
        <w:t>ö</w:t>
      </w:r>
      <w:r w:rsidRPr="00F87878">
        <w:t>vethet</w:t>
      </w:r>
      <w:r w:rsidRPr="00F87878">
        <w:rPr>
          <w:rFonts w:hint="eastAsia"/>
        </w:rPr>
        <w:t>ő</w:t>
      </w:r>
      <w:r w:rsidRPr="00F87878">
        <w:t xml:space="preserve"> legyen </w:t>
      </w:r>
      <w:r w:rsidRPr="00F87878">
        <w:rPr>
          <w:rFonts w:hint="eastAsia"/>
        </w:rPr>
        <w:t>é</w:t>
      </w:r>
      <w:r w:rsidRPr="00F87878">
        <w:t>s az indexben szerepl</w:t>
      </w:r>
      <w:r w:rsidRPr="00F87878">
        <w:rPr>
          <w:rFonts w:hint="eastAsia"/>
        </w:rPr>
        <w:t>ő</w:t>
      </w:r>
      <w:r w:rsidRPr="00F87878">
        <w:t xml:space="preserve"> </w:t>
      </w:r>
      <w:r w:rsidRPr="00F87878">
        <w:rPr>
          <w:rFonts w:hint="eastAsia"/>
        </w:rPr>
        <w:t>é</w:t>
      </w:r>
      <w:r w:rsidRPr="00F87878">
        <w:t>rt</w:t>
      </w:r>
      <w:r w:rsidRPr="00F87878">
        <w:rPr>
          <w:rFonts w:hint="eastAsia"/>
        </w:rPr>
        <w:t>é</w:t>
      </w:r>
      <w:r w:rsidRPr="00F87878">
        <w:t>kpap</w:t>
      </w:r>
      <w:r w:rsidRPr="00F87878">
        <w:rPr>
          <w:rFonts w:hint="eastAsia"/>
        </w:rPr>
        <w:t>í</w:t>
      </w:r>
      <w:r w:rsidRPr="00F87878">
        <w:t>rok el</w:t>
      </w:r>
      <w:r w:rsidRPr="00F87878">
        <w:rPr>
          <w:rFonts w:hint="eastAsia"/>
        </w:rPr>
        <w:t>é</w:t>
      </w:r>
      <w:r w:rsidRPr="00F87878">
        <w:t>rhet</w:t>
      </w:r>
      <w:r w:rsidRPr="00F87878">
        <w:rPr>
          <w:rFonts w:hint="eastAsia"/>
        </w:rPr>
        <w:t>ő</w:t>
      </w:r>
      <w:r w:rsidRPr="00F87878">
        <w:t>k legyenek a piac sz</w:t>
      </w:r>
      <w:r w:rsidRPr="00F87878">
        <w:rPr>
          <w:rFonts w:hint="eastAsia"/>
        </w:rPr>
        <w:t>á</w:t>
      </w:r>
      <w:r w:rsidRPr="00F87878">
        <w:t>m</w:t>
      </w:r>
      <w:r w:rsidRPr="00F87878">
        <w:rPr>
          <w:rFonts w:hint="eastAsia"/>
        </w:rPr>
        <w:t>á</w:t>
      </w:r>
      <w:r w:rsidRPr="00F87878">
        <w:t>ra. Az indextagok meghat</w:t>
      </w:r>
      <w:r w:rsidRPr="00F87878">
        <w:rPr>
          <w:rFonts w:hint="eastAsia"/>
        </w:rPr>
        <w:t>á</w:t>
      </w:r>
      <w:r w:rsidRPr="00F87878">
        <w:t>roz</w:t>
      </w:r>
      <w:r w:rsidRPr="00F87878">
        <w:rPr>
          <w:rFonts w:hint="eastAsia"/>
        </w:rPr>
        <w:t>á</w:t>
      </w:r>
      <w:r w:rsidRPr="00F87878">
        <w:t>s</w:t>
      </w:r>
      <w:r w:rsidRPr="00F87878">
        <w:rPr>
          <w:rFonts w:hint="eastAsia"/>
        </w:rPr>
        <w:t>á</w:t>
      </w:r>
      <w:r w:rsidRPr="00F87878">
        <w:t>n</w:t>
      </w:r>
      <w:r w:rsidRPr="00F87878">
        <w:rPr>
          <w:rFonts w:hint="eastAsia"/>
        </w:rPr>
        <w:t>á</w:t>
      </w:r>
      <w:r w:rsidRPr="00F87878">
        <w:t>l ezt az elvet is figyelembe kell venni.</w:t>
      </w:r>
    </w:p>
    <w:p w:rsidR="00725952" w:rsidRDefault="002833E7" w:rsidP="000C2AF2">
      <w:pPr>
        <w:spacing w:after="120" w:line="276" w:lineRule="auto"/>
        <w:ind w:left="567"/>
      </w:pPr>
      <w:r>
        <w:t>A</w:t>
      </w:r>
      <w:r w:rsidR="00AC5B04">
        <w:t xml:space="preserve"> BIX</w:t>
      </w:r>
      <w:r>
        <w:t xml:space="preserve"> index tagjai </w:t>
      </w:r>
      <w:r w:rsidR="00BB6C56">
        <w:t xml:space="preserve">azok </w:t>
      </w:r>
      <w:r>
        <w:t>a</w:t>
      </w:r>
      <w:r w:rsidR="00A72D14">
        <w:t xml:space="preserve"> </w:t>
      </w:r>
      <w:r>
        <w:t xml:space="preserve">magyarországi kibocsátású ingatlan-befektetési alapok, </w:t>
      </w:r>
      <w:r w:rsidR="00BB6C56">
        <w:t>a</w:t>
      </w:r>
      <w:r>
        <w:t>melyek</w:t>
      </w:r>
      <w:r w:rsidR="00725952">
        <w:t xml:space="preserve"> az alábbi feltételek mindegyikét teljesítik:</w:t>
      </w:r>
    </w:p>
    <w:p w:rsidR="00D40CE8" w:rsidRDefault="00D40CE8" w:rsidP="000C2AF2">
      <w:pPr>
        <w:pStyle w:val="Listaszerbekezds"/>
        <w:numPr>
          <w:ilvl w:val="0"/>
          <w:numId w:val="13"/>
        </w:numPr>
        <w:spacing w:before="120" w:after="120" w:line="276" w:lineRule="auto"/>
        <w:ind w:left="1281" w:hanging="357"/>
        <w:contextualSpacing w:val="0"/>
      </w:pPr>
      <w:r w:rsidRPr="00D40CE8">
        <w:t>nyilv</w:t>
      </w:r>
      <w:r w:rsidRPr="00D40CE8">
        <w:rPr>
          <w:rFonts w:hint="eastAsia"/>
        </w:rPr>
        <w:t>á</w:t>
      </w:r>
      <w:r w:rsidRPr="00D40CE8">
        <w:t>nos</w:t>
      </w:r>
      <w:r w:rsidR="001F54A1">
        <w:t>,</w:t>
      </w:r>
      <w:r w:rsidR="001F54A1" w:rsidRPr="001F54A1">
        <w:t xml:space="preserve"> bel</w:t>
      </w:r>
      <w:r w:rsidR="001F54A1" w:rsidRPr="001F54A1">
        <w:rPr>
          <w:rFonts w:hint="eastAsia"/>
        </w:rPr>
        <w:t>é</w:t>
      </w:r>
      <w:r w:rsidR="001F54A1" w:rsidRPr="001F54A1">
        <w:t>p</w:t>
      </w:r>
      <w:r w:rsidR="001F54A1" w:rsidRPr="001F54A1">
        <w:rPr>
          <w:rFonts w:hint="eastAsia"/>
        </w:rPr>
        <w:t>é</w:t>
      </w:r>
      <w:r w:rsidR="001F54A1" w:rsidRPr="001F54A1">
        <w:t>si korl</w:t>
      </w:r>
      <w:r w:rsidR="001F54A1" w:rsidRPr="001F54A1">
        <w:rPr>
          <w:rFonts w:hint="eastAsia"/>
        </w:rPr>
        <w:t>á</w:t>
      </w:r>
      <w:r w:rsidR="001F54A1" w:rsidRPr="001F54A1">
        <w:t>ttal</w:t>
      </w:r>
      <w:r w:rsidR="001F54A1">
        <w:t xml:space="preserve"> nem</w:t>
      </w:r>
      <w:r w:rsidR="001F54A1" w:rsidRPr="001F54A1">
        <w:t xml:space="preserve"> rendelkez</w:t>
      </w:r>
      <w:r w:rsidR="001F54A1" w:rsidRPr="001F54A1">
        <w:rPr>
          <w:rFonts w:hint="eastAsia"/>
        </w:rPr>
        <w:t>ő</w:t>
      </w:r>
      <w:r w:rsidR="00CB4137">
        <w:rPr>
          <w:rStyle w:val="Lbjegyzet-hivatkozs"/>
        </w:rPr>
        <w:footnoteReference w:id="1"/>
      </w:r>
      <w:r w:rsidR="00C77674">
        <w:t>, nyílt végű</w:t>
      </w:r>
      <w:r w:rsidR="00F672D6">
        <w:t xml:space="preserve"> alapok</w:t>
      </w:r>
      <w:r w:rsidRPr="00D40CE8">
        <w:t>,</w:t>
      </w:r>
    </w:p>
    <w:p w:rsidR="00A27CB5" w:rsidRDefault="00A27CB5" w:rsidP="000C2AF2">
      <w:pPr>
        <w:pStyle w:val="Listaszerbekezds"/>
        <w:numPr>
          <w:ilvl w:val="0"/>
          <w:numId w:val="13"/>
        </w:numPr>
        <w:spacing w:before="120" w:after="120" w:line="276" w:lineRule="auto"/>
        <w:ind w:left="1281" w:hanging="357"/>
        <w:contextualSpacing w:val="0"/>
      </w:pPr>
      <w:r w:rsidRPr="00A27CB5">
        <w:lastRenderedPageBreak/>
        <w:t xml:space="preserve">az index felülvizsgálat </w:t>
      </w:r>
      <w:r>
        <w:t>napján</w:t>
      </w:r>
      <w:r w:rsidRPr="00A27CB5">
        <w:t xml:space="preserve"> (minden év április 1. napja és október 1. napja, vagy az ezeket követő első munkanap)</w:t>
      </w:r>
      <w:r>
        <w:t xml:space="preserve"> az ingatlanalap nettó eszközértéke legalább 1 milliárd </w:t>
      </w:r>
      <w:r w:rsidR="00E92E95">
        <w:t>Ft,</w:t>
      </w:r>
    </w:p>
    <w:p w:rsidR="008635A2" w:rsidRDefault="0017511C" w:rsidP="000C2AF2">
      <w:pPr>
        <w:pStyle w:val="Listaszerbekezds"/>
        <w:numPr>
          <w:ilvl w:val="0"/>
          <w:numId w:val="13"/>
        </w:numPr>
        <w:spacing w:before="120" w:after="120" w:line="276" w:lineRule="auto"/>
        <w:ind w:left="1281" w:hanging="357"/>
        <w:contextualSpacing w:val="0"/>
      </w:pPr>
      <w:r>
        <w:t>legaláb</w:t>
      </w:r>
      <w:r w:rsidR="00BE3FF9">
        <w:t xml:space="preserve">b </w:t>
      </w:r>
      <w:r w:rsidR="00313AA3">
        <w:t xml:space="preserve">hetente </w:t>
      </w:r>
      <w:r w:rsidR="00BE3FF9">
        <w:t xml:space="preserve">számítják és a BAMOSZ </w:t>
      </w:r>
      <w:r>
        <w:t xml:space="preserve">honlapon </w:t>
      </w:r>
      <w:r w:rsidR="00A72D14">
        <w:t>leg</w:t>
      </w:r>
      <w:r w:rsidR="0001462A">
        <w:t>k</w:t>
      </w:r>
      <w:r w:rsidR="00A72D14">
        <w:t xml:space="preserve">ésőbb T+2. napon </w:t>
      </w:r>
      <w:r>
        <w:t>publikálják az alap nettó eszközértékét és egy jegyre jutó nettó eszközértékét</w:t>
      </w:r>
      <w:r w:rsidR="00B30443">
        <w:t>,</w:t>
      </w:r>
    </w:p>
    <w:p w:rsidR="00DB3AAE" w:rsidRDefault="005F5A9F" w:rsidP="000C2AF2">
      <w:pPr>
        <w:pStyle w:val="Listaszerbekezds"/>
        <w:numPr>
          <w:ilvl w:val="0"/>
          <w:numId w:val="13"/>
        </w:numPr>
        <w:spacing w:before="120" w:after="120" w:line="276" w:lineRule="auto"/>
        <w:ind w:left="1281" w:hanging="357"/>
        <w:contextualSpacing w:val="0"/>
      </w:pPr>
      <w:r>
        <w:t xml:space="preserve">az index felülvizsgálat </w:t>
      </w:r>
      <w:r w:rsidR="00C74B7B">
        <w:t xml:space="preserve">napját (minden év </w:t>
      </w:r>
      <w:r w:rsidR="00C74B7B" w:rsidRPr="00C74B7B">
        <w:t>április 1.</w:t>
      </w:r>
      <w:r w:rsidR="00C74B7B">
        <w:t xml:space="preserve"> napja</w:t>
      </w:r>
      <w:r w:rsidR="00C74B7B" w:rsidRPr="00C74B7B">
        <w:t xml:space="preserve"> és október 1.</w:t>
      </w:r>
      <w:r w:rsidR="00C74B7B">
        <w:t xml:space="preserve"> napja</w:t>
      </w:r>
      <w:r w:rsidR="00C74B7B" w:rsidRPr="00C74B7B">
        <w:t>, vagy az ezeket követő első munkanap</w:t>
      </w:r>
      <w:r w:rsidR="00C74B7B">
        <w:t xml:space="preserve">) megelőző </w:t>
      </w:r>
      <w:r w:rsidR="001A0C0E">
        <w:t xml:space="preserve">60 </w:t>
      </w:r>
      <w:r w:rsidR="00ED5F68">
        <w:t>munkanap</w:t>
      </w:r>
      <w:r w:rsidR="00B452DF">
        <w:t xml:space="preserve"> (vizsgált időszak)</w:t>
      </w:r>
      <w:r w:rsidR="00910A7D">
        <w:t xml:space="preserve"> többségében ténylegesen sor került </w:t>
      </w:r>
      <w:r w:rsidR="009B7013">
        <w:t>a</w:t>
      </w:r>
      <w:r w:rsidR="006B3AEB">
        <w:t xml:space="preserve">z adott alap befektetési jegyeinek </w:t>
      </w:r>
      <w:r w:rsidR="00910A7D">
        <w:t xml:space="preserve">forgalomba hozatalára, azaz </w:t>
      </w:r>
      <w:r w:rsidR="00B452DF">
        <w:t>a vizsgált időszak többségében</w:t>
      </w:r>
      <w:r w:rsidR="006975FD">
        <w:t xml:space="preserve"> a </w:t>
      </w:r>
      <w:r w:rsidR="006975FD" w:rsidRPr="006975FD">
        <w:t xml:space="preserve">befektetési jegyek forgalomba hozatala </w:t>
      </w:r>
      <w:r w:rsidR="006975FD">
        <w:t xml:space="preserve">nem </w:t>
      </w:r>
      <w:r w:rsidR="006975FD" w:rsidRPr="006975FD">
        <w:t>szünetel</w:t>
      </w:r>
      <w:r w:rsidR="00B452DF">
        <w:t>t</w:t>
      </w:r>
      <w:r w:rsidR="006975FD">
        <w:t xml:space="preserve"> és </w:t>
      </w:r>
      <w:r w:rsidR="00C20992">
        <w:t xml:space="preserve">a vizsgált időszak többségében </w:t>
      </w:r>
      <w:r w:rsidR="006975FD">
        <w:t xml:space="preserve">nem </w:t>
      </w:r>
      <w:r w:rsidR="0075752A">
        <w:t xml:space="preserve">került sor a </w:t>
      </w:r>
      <w:r w:rsidR="0075752A" w:rsidRPr="0075752A">
        <w:t>folyamatos forgalmazás</w:t>
      </w:r>
      <w:r w:rsidR="0075752A">
        <w:t xml:space="preserve"> felfüggesztésére</w:t>
      </w:r>
      <w:r w:rsidR="007D596E">
        <w:t>.</w:t>
      </w:r>
    </w:p>
    <w:p w:rsidR="00DE4216" w:rsidRDefault="00DE4216" w:rsidP="000C2AF2">
      <w:pPr>
        <w:spacing w:after="120" w:line="276" w:lineRule="auto"/>
        <w:ind w:left="567"/>
      </w:pPr>
      <w:r>
        <w:t xml:space="preserve">Amennyiben egy ingatlanalap több befektetési jegy </w:t>
      </w:r>
      <w:r w:rsidR="002177F4">
        <w:t>sorozatot bocsát ki, akkor valamennyi sorozat az index tagjává válhat</w:t>
      </w:r>
      <w:r w:rsidR="00755462">
        <w:t>, azzal, hogy a</w:t>
      </w:r>
      <w:r w:rsidR="00691C94">
        <w:t>z adott befektetési jegy sorozat</w:t>
      </w:r>
      <w:r w:rsidR="00755462">
        <w:t>nak</w:t>
      </w:r>
      <w:r w:rsidR="00CB539F">
        <w:t xml:space="preserve"> meg kell felelnie</w:t>
      </w:r>
      <w:r w:rsidR="00691C94">
        <w:t xml:space="preserve"> a fenti pontok</w:t>
      </w:r>
      <w:r w:rsidR="00846636">
        <w:t>ban meghatározott feltételeknek</w:t>
      </w:r>
      <w:r w:rsidR="00887855">
        <w:t xml:space="preserve">, kivétel a (ii) pontban meghatározott feltétel, amelyet </w:t>
      </w:r>
      <w:r w:rsidR="00AD7A68">
        <w:t>az adott alapra vonatkozóan kell vizsgálni.</w:t>
      </w:r>
      <w:r w:rsidR="00755462">
        <w:t xml:space="preserve"> </w:t>
      </w:r>
    </w:p>
    <w:p w:rsidR="0052463B" w:rsidRDefault="002833E7" w:rsidP="000C2AF2">
      <w:pPr>
        <w:spacing w:after="120" w:line="276" w:lineRule="auto"/>
        <w:ind w:left="567"/>
      </w:pPr>
      <w:r>
        <w:t>A kosár felülvizsgálat alkalmával</w:t>
      </w:r>
      <w:r w:rsidR="00AD7A68">
        <w:t xml:space="preserve"> </w:t>
      </w:r>
      <w:r>
        <w:t>az index tagjává vál</w:t>
      </w:r>
      <w:r w:rsidR="00AD7A68">
        <w:t>hat</w:t>
      </w:r>
      <w:r>
        <w:t>nak az utolsó felülvizsgálat óta indított magyarországi kibocsátású ingatlanalapok</w:t>
      </w:r>
      <w:r w:rsidR="00A72D14">
        <w:t>, amik a fenti kritériumoknak megfelelnek</w:t>
      </w:r>
      <w:r>
        <w:t>.</w:t>
      </w:r>
    </w:p>
    <w:p w:rsidR="002833E7" w:rsidRDefault="002833E7" w:rsidP="000C2AF2">
      <w:pPr>
        <w:spacing w:after="120" w:line="276" w:lineRule="auto"/>
        <w:ind w:left="567"/>
      </w:pPr>
      <w:r>
        <w:t xml:space="preserve">Az index </w:t>
      </w:r>
      <w:r w:rsidR="00DC2C43">
        <w:t>nagy mértékben</w:t>
      </w:r>
      <w:r>
        <w:t xml:space="preserve"> lefedi a hazai </w:t>
      </w:r>
      <w:r w:rsidR="004616C0">
        <w:t xml:space="preserve">(közvetlen, tehát nem alapok alapja formában működő) </w:t>
      </w:r>
      <w:r w:rsidR="00DC2C43">
        <w:t xml:space="preserve">nyilvános </w:t>
      </w:r>
      <w:r>
        <w:t>ingatlanbefektetési alapok körét, így teljesítménye viszonyítási pontot jelent a hazai intézményesült ingatlanbefektetésekkel rendelkező befektetők számára</w:t>
      </w:r>
      <w:r w:rsidR="00120D1A">
        <w:t>, valamint az index teljesítménye a vagyonkezelők számára is leképezhető.</w:t>
      </w:r>
    </w:p>
    <w:p w:rsidR="002833E7" w:rsidRPr="005C236F" w:rsidRDefault="002833E7" w:rsidP="000C2AF2">
      <w:pPr>
        <w:pStyle w:val="Cmsor2"/>
        <w:spacing w:line="276" w:lineRule="auto"/>
        <w:rPr>
          <w:i w:val="0"/>
        </w:rPr>
      </w:pPr>
      <w:bookmarkStart w:id="64" w:name="_Toc520116546"/>
      <w:bookmarkStart w:id="65" w:name="_Toc520116596"/>
      <w:bookmarkStart w:id="66" w:name="_Toc520117592"/>
      <w:bookmarkStart w:id="67" w:name="_Toc520117736"/>
      <w:r>
        <w:t>Az index típusa</w:t>
      </w:r>
      <w:bookmarkEnd w:id="64"/>
      <w:bookmarkEnd w:id="65"/>
      <w:bookmarkEnd w:id="66"/>
      <w:bookmarkEnd w:id="67"/>
    </w:p>
    <w:p w:rsidR="002833E7" w:rsidRDefault="002833E7" w:rsidP="000C2AF2">
      <w:pPr>
        <w:spacing w:after="120" w:line="276" w:lineRule="auto"/>
        <w:ind w:left="567"/>
      </w:pPr>
      <w:r>
        <w:t xml:space="preserve">Napi számítású, </w:t>
      </w:r>
      <w:r w:rsidR="006D1960">
        <w:t xml:space="preserve">nettó eszközértékkel </w:t>
      </w:r>
      <w:r>
        <w:t>súlyozott láncindex. Az egyes indextagok súlya megegyezik az alap vagyonának az összes indextag vagyonához viszonyított arányával (kezelt vagyon alapú piaci részesedés)</w:t>
      </w:r>
      <w:r w:rsidR="0084640F">
        <w:t>.</w:t>
      </w:r>
      <w:r w:rsidR="005124DF">
        <w:t xml:space="preserve"> </w:t>
      </w:r>
      <w:r w:rsidR="005124DF" w:rsidRPr="005124DF">
        <w:t>Nem forintban denominált befektetési alapok vagy sorozatok súlya a teljes felülvizsgálati periódusban az utolsó index-felülvizsgálatkor érvényes devizaárfolyammal számolt forintban mért súllyal egyezik meg.</w:t>
      </w:r>
      <w:r w:rsidR="005124DF">
        <w:t xml:space="preserve"> </w:t>
      </w:r>
      <w:r>
        <w:t xml:space="preserve">A hozamfizetés során az index feltételezi, hogy a kifizetett hozam az index összetételének megfelelően </w:t>
      </w:r>
      <w:proofErr w:type="spellStart"/>
      <w:r>
        <w:t>újrabefektetésre</w:t>
      </w:r>
      <w:proofErr w:type="spellEnd"/>
      <w:r>
        <w:t xml:space="preserve"> kerül.</w:t>
      </w:r>
      <w:r w:rsidR="00455DF0">
        <w:t xml:space="preserve"> </w:t>
      </w:r>
    </w:p>
    <w:p w:rsidR="002833E7" w:rsidRPr="005C236F" w:rsidRDefault="002833E7" w:rsidP="000C2AF2">
      <w:pPr>
        <w:pStyle w:val="Cmsor2"/>
        <w:spacing w:line="276" w:lineRule="auto"/>
        <w:rPr>
          <w:i w:val="0"/>
        </w:rPr>
      </w:pPr>
      <w:bookmarkStart w:id="68" w:name="_Toc520116547"/>
      <w:bookmarkStart w:id="69" w:name="_Toc520116597"/>
      <w:bookmarkStart w:id="70" w:name="_Toc520117593"/>
      <w:bookmarkStart w:id="71" w:name="_Toc520117737"/>
      <w:r>
        <w:t>Az index számításának időpontjai</w:t>
      </w:r>
      <w:bookmarkEnd w:id="68"/>
      <w:bookmarkEnd w:id="69"/>
      <w:bookmarkEnd w:id="70"/>
      <w:bookmarkEnd w:id="71"/>
    </w:p>
    <w:p w:rsidR="002833E7" w:rsidRDefault="002833E7" w:rsidP="000C2AF2">
      <w:pPr>
        <w:spacing w:after="120" w:line="276" w:lineRule="auto"/>
        <w:ind w:left="567"/>
      </w:pPr>
      <w:r>
        <w:t>Minden munkanapon, az indexben szereplő ingatlan alapok adott napra érvényes egy jegyre jutó nettó eszközértékei alapján. T napon a T–2-re érvényes index értékét lehet meghatározni az indexben szereplő alapok árfolyamainak publikálási eltolódása miatt</w:t>
      </w:r>
      <w:r w:rsidR="00F3310F">
        <w:t xml:space="preserve"> (az index számításának céljára minden esetben a T napon a BAMOSZ adatbázisában T-2 napnál nem közelebbi napra vonatkozóan szereplő árfolyam adatok jönnek figyelembe)</w:t>
      </w:r>
      <w:r>
        <w:t>.</w:t>
      </w:r>
    </w:p>
    <w:p w:rsidR="002833E7" w:rsidRDefault="008A6031" w:rsidP="000C2AF2">
      <w:pPr>
        <w:spacing w:after="120" w:line="276" w:lineRule="auto"/>
        <w:ind w:left="567"/>
      </w:pPr>
      <w:r w:rsidRPr="008A6031">
        <w:t>Bemeneti adatok forrása</w:t>
      </w:r>
      <w:r w:rsidR="002833E7">
        <w:t>: BAMOSZ adatbázis</w:t>
      </w:r>
    </w:p>
    <w:p w:rsidR="00D80280" w:rsidRDefault="00D80280" w:rsidP="000C2AF2">
      <w:pPr>
        <w:pStyle w:val="Cmsor2"/>
        <w:spacing w:line="276" w:lineRule="auto"/>
      </w:pPr>
      <w:bookmarkStart w:id="72" w:name="_Toc520116548"/>
      <w:bookmarkStart w:id="73" w:name="_Toc520116598"/>
      <w:bookmarkStart w:id="74" w:name="_Toc520117594"/>
      <w:bookmarkStart w:id="75" w:name="_Toc520117738"/>
      <w:r w:rsidRPr="00D80280">
        <w:t>Indexértékek közzététele</w:t>
      </w:r>
      <w:bookmarkEnd w:id="72"/>
      <w:bookmarkEnd w:id="73"/>
      <w:bookmarkEnd w:id="74"/>
      <w:bookmarkEnd w:id="75"/>
    </w:p>
    <w:p w:rsidR="00D80280" w:rsidRPr="00D80280" w:rsidRDefault="00D80280" w:rsidP="000C2AF2">
      <w:pPr>
        <w:spacing w:after="120" w:line="276" w:lineRule="auto"/>
        <w:ind w:left="567"/>
      </w:pPr>
      <w:r>
        <w:t xml:space="preserve">A BIX index </w:t>
      </w:r>
      <w:r w:rsidR="008B1941">
        <w:t>értékeit a BAMOSZ a honlapján (</w:t>
      </w:r>
      <w:hyperlink r:id="rId8" w:history="1">
        <w:r w:rsidR="008B1941" w:rsidRPr="00B440B6">
          <w:rPr>
            <w:rStyle w:val="Hiperhivatkozs"/>
          </w:rPr>
          <w:t>www.bamosz.hu</w:t>
        </w:r>
      </w:hyperlink>
      <w:r w:rsidR="008B1941">
        <w:t>) közzéteszi.</w:t>
      </w:r>
    </w:p>
    <w:p w:rsidR="002833E7" w:rsidRPr="005C236F" w:rsidRDefault="002833E7" w:rsidP="000C2AF2">
      <w:pPr>
        <w:pStyle w:val="Cmsor2"/>
        <w:spacing w:line="276" w:lineRule="auto"/>
        <w:rPr>
          <w:i w:val="0"/>
        </w:rPr>
      </w:pPr>
      <w:bookmarkStart w:id="76" w:name="_Toc520116549"/>
      <w:bookmarkStart w:id="77" w:name="_Toc520116599"/>
      <w:bookmarkStart w:id="78" w:name="_Toc520117595"/>
      <w:bookmarkStart w:id="79" w:name="_Toc520117739"/>
      <w:r>
        <w:lastRenderedPageBreak/>
        <w:t>Az index bázis</w:t>
      </w:r>
      <w:bookmarkEnd w:id="76"/>
      <w:bookmarkEnd w:id="77"/>
      <w:bookmarkEnd w:id="78"/>
      <w:bookmarkEnd w:id="79"/>
    </w:p>
    <w:p w:rsidR="002833E7" w:rsidRDefault="002833E7" w:rsidP="000C2AF2">
      <w:pPr>
        <w:spacing w:after="120" w:line="276" w:lineRule="auto"/>
        <w:ind w:left="567"/>
      </w:pPr>
      <w:r>
        <w:t>Az index bázis</w:t>
      </w:r>
      <w:r w:rsidR="005C236F">
        <w:t>értéke</w:t>
      </w:r>
      <w:r>
        <w:t>: 2003.01.02-án 100 pont</w:t>
      </w:r>
    </w:p>
    <w:p w:rsidR="002833E7" w:rsidRPr="006C28F3" w:rsidRDefault="002833E7" w:rsidP="000C2AF2">
      <w:pPr>
        <w:pStyle w:val="Cmsor2"/>
        <w:keepNext/>
        <w:spacing w:line="276" w:lineRule="auto"/>
        <w:ind w:left="578" w:hanging="578"/>
        <w:rPr>
          <w:i w:val="0"/>
        </w:rPr>
      </w:pPr>
      <w:bookmarkStart w:id="80" w:name="_Toc520116550"/>
      <w:bookmarkStart w:id="81" w:name="_Toc520116600"/>
      <w:bookmarkStart w:id="82" w:name="_Toc520117596"/>
      <w:bookmarkStart w:id="83" w:name="_Toc520117740"/>
      <w:r>
        <w:t>Az index képlete</w:t>
      </w:r>
      <w:bookmarkEnd w:id="80"/>
      <w:bookmarkEnd w:id="81"/>
      <w:bookmarkEnd w:id="82"/>
      <w:bookmarkEnd w:id="83"/>
    </w:p>
    <w:p w:rsidR="002833E7" w:rsidRDefault="002833E7" w:rsidP="000C2AF2">
      <w:pPr>
        <w:spacing w:before="120" w:line="276" w:lineRule="auto"/>
      </w:pPr>
    </w:p>
    <w:p w:rsidR="005E52AE" w:rsidRPr="000C2AF2" w:rsidRDefault="001D3E31" w:rsidP="000C2AF2">
      <w:pPr>
        <w:spacing w:before="120" w:after="120" w:line="276" w:lineRule="auto"/>
        <w:ind w:left="567"/>
        <w:rPr>
          <w:rFonts w:ascii="Garamond" w:hAnsi="Garamond" w:cs="Tahom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ahoma"/>
                </w:rPr>
              </m:ctrlPr>
            </m:sSubPr>
            <m:e>
              <m:r>
                <w:rPr>
                  <w:rFonts w:ascii="Cambria Math" w:hAnsi="Cambria Math" w:cs="Tahoma"/>
                </w:rPr>
                <m:t>BIX</m:t>
              </m:r>
            </m:e>
            <m:sub>
              <m:r>
                <w:rPr>
                  <w:rFonts w:ascii="Cambria Math" w:hAnsi="Cambria Math" w:cs="Tahoma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 w:cs="Tahoma"/>
            </w:rPr>
            <m:t>=</m:t>
          </m:r>
          <m:r>
            <w:rPr>
              <w:rFonts w:ascii="Cambria Math" w:hAnsi="Cambria Math" w:cs="Tahoma"/>
            </w:rPr>
            <m:t>K</m:t>
          </m:r>
          <m:r>
            <m:rPr>
              <m:sty m:val="p"/>
            </m:rPr>
            <w:rPr>
              <w:rFonts w:ascii="Cambria Math" w:hAnsi="Cambria Math" w:cs="Tahoma"/>
            </w:rPr>
            <m:t>*</m:t>
          </m:r>
          <m:d>
            <m:dPr>
              <m:begChr m:val="["/>
              <m:endChr m:val="]"/>
              <m:ctrlPr>
                <w:rPr>
                  <w:rFonts w:ascii="Cambria Math" w:hAnsi="Cambria Math" w:cs="Tahoma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ahoma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ahoma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Tahoma"/>
                        </w:rPr>
                        <m:t>n</m:t>
                      </m:r>
                    </m:sup>
                    <m:e>
                      <m:r>
                        <w:rPr>
                          <w:rFonts w:ascii="Cambria Math" w:hAnsi="Cambria Math" w:cs="Tahoma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</w:rPr>
                            <m:t>p</m:t>
                          </m:r>
                          <m:ctrlPr>
                            <w:rPr>
                              <w:rFonts w:ascii="Cambria Math" w:eastAsia="Cambria Math" w:hAnsi="Cambria Math" w:cs="Tahoma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ahoma"/>
                            </w:rPr>
                            <m:t>it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*</m:t>
                      </m:r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</w:rPr>
                                <m:t>NAV</m:t>
                              </m:r>
                              <m:ctrlPr>
                                <w:rPr>
                                  <w:rFonts w:ascii="Cambria Math" w:eastAsia="Cambria Math" w:hAnsi="Cambria Math" w:cs="Tahoma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</w:rPr>
                                <m:t>i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ahoma"/>
                                </w:rPr>
                                <m:t>0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</w:rPr>
                                <m:t>p</m:t>
                              </m:r>
                              <m:ctrlPr>
                                <w:rPr>
                                  <w:rFonts w:ascii="Cambria Math" w:eastAsia="Cambria Math" w:hAnsi="Cambria Math" w:cs="Tahoma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</w:rPr>
                                <m:t>i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ahoma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</w:rPr>
                            <m:t>i0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</w:rPr>
                        <m:t>)</m:t>
                      </m:r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ahoma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ahoma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Tahoma"/>
                        </w:rPr>
                        <m:t>n</m:t>
                      </m:r>
                    </m:sup>
                    <m:e>
                      <m:r>
                        <w:rPr>
                          <w:rFonts w:ascii="Cambria Math" w:hAnsi="Cambria Math" w:cs="Tahoma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</w:rPr>
                            <m:t>NAV</m:t>
                          </m:r>
                          <m:ctrlPr>
                            <w:rPr>
                              <w:rFonts w:ascii="Cambria Math" w:eastAsia="Cambria Math" w:hAnsi="Cambria Math" w:cs="Tahoma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="Tahoma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</w:rPr>
                            <m:t>0</m:t>
                          </m:r>
                        </m:sub>
                      </m:sSub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ahoma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</w:rPr>
                        <m:t>i0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)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ahoma"/>
            </w:rPr>
            <m:t>*100</m:t>
          </m:r>
        </m:oMath>
      </m:oMathPara>
    </w:p>
    <w:p w:rsidR="002833E7" w:rsidRPr="006C28F3" w:rsidRDefault="002833E7" w:rsidP="000C2AF2">
      <w:pPr>
        <w:pStyle w:val="Cmsor2"/>
        <w:spacing w:line="276" w:lineRule="auto"/>
        <w:rPr>
          <w:i w:val="0"/>
        </w:rPr>
      </w:pPr>
      <w:bookmarkStart w:id="84" w:name="_Toc520116551"/>
      <w:bookmarkStart w:id="85" w:name="_Toc520116601"/>
      <w:bookmarkStart w:id="86" w:name="_Toc520117597"/>
      <w:bookmarkStart w:id="87" w:name="_Toc520117741"/>
      <w:r>
        <w:t>Az index változói</w:t>
      </w:r>
      <w:bookmarkEnd w:id="84"/>
      <w:bookmarkEnd w:id="85"/>
      <w:bookmarkEnd w:id="86"/>
      <w:bookmarkEnd w:id="87"/>
    </w:p>
    <w:p w:rsidR="002833E7" w:rsidRDefault="001D3E31" w:rsidP="000C2AF2">
      <w:pPr>
        <w:tabs>
          <w:tab w:val="left" w:pos="1418"/>
        </w:tabs>
        <w:spacing w:before="120" w:after="120" w:line="276" w:lineRule="auto"/>
        <w:ind w:left="1418" w:hanging="851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BIX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2833E7">
        <w:tab/>
        <w:t>T napon számított index értéke, kerekítve 2 tizedesjegyre</w:t>
      </w:r>
    </w:p>
    <w:p w:rsidR="008A7986" w:rsidRDefault="0000765B" w:rsidP="000C2AF2">
      <w:pPr>
        <w:tabs>
          <w:tab w:val="left" w:pos="1418"/>
        </w:tabs>
        <w:spacing w:before="120" w:after="120" w:line="276" w:lineRule="auto"/>
        <w:ind w:left="1418" w:hanging="851"/>
      </w:pPr>
      <m:oMath>
        <m:r>
          <w:rPr>
            <w:rFonts w:ascii="Cambria Math" w:hAnsi="Cambria Math"/>
          </w:rPr>
          <m:t>i</m:t>
        </m:r>
      </m:oMath>
      <w:r w:rsidR="008A7986">
        <w:tab/>
        <w:t>az indexben szereplő ingatlanalap befektetési jegy soroza</w:t>
      </w:r>
      <w:r w:rsidR="000F7A2A">
        <w:t>t</w:t>
      </w:r>
    </w:p>
    <w:p w:rsidR="002833E7" w:rsidRDefault="002833E7" w:rsidP="000C2AF2">
      <w:pPr>
        <w:tabs>
          <w:tab w:val="left" w:pos="1418"/>
        </w:tabs>
        <w:spacing w:before="120" w:after="120" w:line="276" w:lineRule="auto"/>
        <w:ind w:left="1418" w:hanging="851"/>
      </w:pPr>
      <m:oMath>
        <m:r>
          <w:rPr>
            <w:rFonts w:ascii="Cambria Math" w:hAnsi="Cambria Math"/>
          </w:rPr>
          <m:t>n</m:t>
        </m:r>
      </m:oMath>
      <w:r>
        <w:tab/>
        <w:t>az indexben szereplő ingatlanalap</w:t>
      </w:r>
      <w:r w:rsidR="00B52B18">
        <w:t xml:space="preserve"> befektetési jegy sorozatok</w:t>
      </w:r>
      <w:r>
        <w:t xml:space="preserve"> száma</w:t>
      </w:r>
    </w:p>
    <w:p w:rsidR="00800A19" w:rsidRDefault="00800A19" w:rsidP="000C2AF2">
      <w:pPr>
        <w:tabs>
          <w:tab w:val="left" w:pos="1418"/>
        </w:tabs>
        <w:spacing w:before="120" w:after="120" w:line="276" w:lineRule="auto"/>
        <w:ind w:left="1418" w:hanging="851"/>
      </w:pPr>
      <m:oMath>
        <m:r>
          <w:rPr>
            <w:rFonts w:ascii="Cambria Math" w:hAnsi="Cambria Math"/>
          </w:rPr>
          <m:t>t</m:t>
        </m:r>
      </m:oMath>
      <w:r>
        <w:tab/>
        <w:t>az index számításának ideje</w:t>
      </w:r>
    </w:p>
    <w:p w:rsidR="002833E7" w:rsidRDefault="001D3E31" w:rsidP="000C2AF2">
      <w:pPr>
        <w:tabs>
          <w:tab w:val="left" w:pos="1418"/>
        </w:tabs>
        <w:spacing w:before="120" w:after="120" w:line="276" w:lineRule="auto"/>
        <w:ind w:left="1418" w:hanging="851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it</m:t>
            </m:r>
          </m:sub>
        </m:sSub>
      </m:oMath>
      <w:r w:rsidR="002833E7">
        <w:tab/>
        <w:t>az i. ingatlanalap</w:t>
      </w:r>
      <w:r w:rsidR="00B52B18">
        <w:t xml:space="preserve"> </w:t>
      </w:r>
      <w:r w:rsidR="008C6B5C">
        <w:t>adott sorozatának</w:t>
      </w:r>
      <w:r w:rsidR="002833E7">
        <w:t xml:space="preserve"> T napra érvényes egy jegyre jutó nettó eszközértéke</w:t>
      </w:r>
      <w:r w:rsidR="0053587E">
        <w:t xml:space="preserve">, </w:t>
      </w:r>
      <w:r w:rsidR="002B446A">
        <w:t>ha nem áll rendelkezésre, akkor</w:t>
      </w:r>
      <w:r w:rsidR="00E10CD8">
        <w:t xml:space="preserve"> </w:t>
      </w:r>
      <w:r w:rsidR="008C6B5C" w:rsidRPr="008C6B5C">
        <w:t>az i. ingatlanalap adott sorozatának</w:t>
      </w:r>
      <w:r w:rsidR="00E10CD8">
        <w:t xml:space="preserve"> legutolsó </w:t>
      </w:r>
      <w:r w:rsidR="00E46F20">
        <w:t xml:space="preserve">közzétett </w:t>
      </w:r>
      <w:r w:rsidR="00E46F20" w:rsidRPr="00E46F20">
        <w:t>egy jegyre jut</w:t>
      </w:r>
      <w:r w:rsidR="00E46F20" w:rsidRPr="00E46F20">
        <w:rPr>
          <w:rFonts w:hint="eastAsia"/>
        </w:rPr>
        <w:t>ó</w:t>
      </w:r>
      <w:r w:rsidR="00E46F20" w:rsidRPr="00E46F20">
        <w:t xml:space="preserve"> nett</w:t>
      </w:r>
      <w:r w:rsidR="00E46F20" w:rsidRPr="00E46F20">
        <w:rPr>
          <w:rFonts w:hint="eastAsia"/>
        </w:rPr>
        <w:t>ó</w:t>
      </w:r>
      <w:r w:rsidR="00E46F20" w:rsidRPr="00E46F20">
        <w:t xml:space="preserve"> eszk</w:t>
      </w:r>
      <w:r w:rsidR="00E46F20" w:rsidRPr="00E46F20">
        <w:rPr>
          <w:rFonts w:hint="eastAsia"/>
        </w:rPr>
        <w:t>ö</w:t>
      </w:r>
      <w:r w:rsidR="00E46F20" w:rsidRPr="00E46F20">
        <w:t>z</w:t>
      </w:r>
      <w:r w:rsidR="00E46F20" w:rsidRPr="00E46F20">
        <w:rPr>
          <w:rFonts w:hint="eastAsia"/>
        </w:rPr>
        <w:t>é</w:t>
      </w:r>
      <w:r w:rsidR="00E46F20" w:rsidRPr="00E46F20">
        <w:t>rt</w:t>
      </w:r>
      <w:r w:rsidR="00E46F20" w:rsidRPr="00E46F20">
        <w:rPr>
          <w:rFonts w:hint="eastAsia"/>
        </w:rPr>
        <w:t>é</w:t>
      </w:r>
      <w:r w:rsidR="00E46F20" w:rsidRPr="00E46F20">
        <w:t>ke</w:t>
      </w:r>
    </w:p>
    <w:p w:rsidR="005E4ED8" w:rsidRDefault="001D3E31" w:rsidP="000C2AF2">
      <w:pPr>
        <w:tabs>
          <w:tab w:val="left" w:pos="1418"/>
        </w:tabs>
        <w:spacing w:before="120" w:after="120" w:line="276" w:lineRule="auto"/>
        <w:ind w:left="1418" w:hanging="851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NAV</m:t>
            </m:r>
          </m:e>
          <m:sub>
            <m:r>
              <w:rPr>
                <w:rFonts w:ascii="Cambria Math" w:hAnsi="Cambria Math"/>
              </w:rPr>
              <m:t>i0</m:t>
            </m:r>
          </m:sub>
        </m:sSub>
      </m:oMath>
      <w:r w:rsidR="005E4ED8">
        <w:tab/>
        <w:t>az i. ingatlanalap adott sorozatának</w:t>
      </w:r>
      <w:r w:rsidR="005F5E05">
        <w:t xml:space="preserve"> 2003.01.02. napi nettó eszközértéke, </w:t>
      </w:r>
      <w:r w:rsidR="005F5E05" w:rsidRPr="005F5E05">
        <w:t>illetve minden kosár felülvizsgálatkor az új kosár életbe lépésének napján érvényes</w:t>
      </w:r>
      <w:r w:rsidR="005F5E05">
        <w:t xml:space="preserve"> </w:t>
      </w:r>
      <w:r w:rsidR="005F5E05" w:rsidRPr="005F5E05">
        <w:t>nettó eszközérték</w:t>
      </w:r>
    </w:p>
    <w:p w:rsidR="002833E7" w:rsidRDefault="001D3E31" w:rsidP="000C2AF2">
      <w:pPr>
        <w:tabs>
          <w:tab w:val="left" w:pos="1418"/>
        </w:tabs>
        <w:spacing w:before="120" w:after="120" w:line="276" w:lineRule="auto"/>
        <w:ind w:left="1418" w:hanging="851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i0</m:t>
            </m:r>
          </m:sub>
        </m:sSub>
      </m:oMath>
      <w:r w:rsidR="002833E7">
        <w:tab/>
      </w:r>
      <w:r w:rsidR="00C43106">
        <w:t xml:space="preserve">az i. ingatlanalap adott sorozatának </w:t>
      </w:r>
      <w:r w:rsidR="002833E7">
        <w:t>2003.01.02</w:t>
      </w:r>
      <w:r w:rsidR="00C43106">
        <w:t>. napi</w:t>
      </w:r>
      <w:r w:rsidR="002833E7">
        <w:t xml:space="preserve"> egy jegyre jutó nettó eszközérték, illetve minden kosár felülvizsgálatkor az új kosár életbe lépésének napján érvényes egy jegyre jutó nettó eszközérték</w:t>
      </w:r>
    </w:p>
    <w:p w:rsidR="00DB655B" w:rsidRDefault="001D3E31" w:rsidP="000C2AF2">
      <w:pPr>
        <w:tabs>
          <w:tab w:val="left" w:pos="1418"/>
        </w:tabs>
        <w:spacing w:before="120" w:after="120" w:line="276" w:lineRule="auto"/>
        <w:ind w:left="1418" w:hanging="851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i0</m:t>
            </m:r>
          </m:sub>
        </m:sSub>
      </m:oMath>
      <w:r w:rsidR="00DB655B">
        <w:tab/>
        <w:t>2003.01.02. napi</w:t>
      </w:r>
      <w:r w:rsidR="00DB655B" w:rsidRPr="00DB655B">
        <w:t xml:space="preserve"> MNB hivatalos devizaárfolyam, illetve minden kosár felülvizsgálatkor az új kosár életbe lépésének napján érvényes MNB hivatalos devizaárfolyam (deviza/forint)</w:t>
      </w:r>
    </w:p>
    <w:p w:rsidR="002833E7" w:rsidRDefault="001D3E31" w:rsidP="000C2AF2">
      <w:pPr>
        <w:tabs>
          <w:tab w:val="left" w:pos="1418"/>
        </w:tabs>
        <w:spacing w:before="120" w:after="120" w:line="276" w:lineRule="auto"/>
        <w:ind w:left="1418" w:hanging="851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2833E7">
        <w:tab/>
      </w:r>
      <w:r w:rsidR="00AD3BAD">
        <w:t xml:space="preserve">hozamfizetéskor </w:t>
      </w:r>
      <w:r w:rsidR="002833E7">
        <w:t>az adott ingatlan alap árfolyamában bekövetkező változást korrigáló tényező, kerekítve 6 tizedesjegyre</w:t>
      </w:r>
    </w:p>
    <w:p w:rsidR="002833E7" w:rsidRDefault="002833E7" w:rsidP="000C2AF2">
      <w:pPr>
        <w:tabs>
          <w:tab w:val="left" w:pos="1418"/>
        </w:tabs>
        <w:spacing w:before="120" w:after="120" w:line="276" w:lineRule="auto"/>
        <w:ind w:left="1418" w:hanging="851"/>
      </w:pPr>
      <m:oMath>
        <m:r>
          <w:rPr>
            <w:rFonts w:ascii="Cambria Math" w:hAnsi="Cambria Math"/>
          </w:rPr>
          <m:t>K</m:t>
        </m:r>
      </m:oMath>
      <w:r>
        <w:tab/>
        <w:t>az index folytonosságát biztosító tényező, amely minden évben kétszer, április 1-én és október 1-én a kosár felülvizsgálatakor kerül módosításra</w:t>
      </w:r>
    </w:p>
    <w:p w:rsidR="00BA6352" w:rsidRDefault="00BA6352" w:rsidP="000C2AF2">
      <w:pPr>
        <w:tabs>
          <w:tab w:val="left" w:pos="1418"/>
        </w:tabs>
        <w:spacing w:after="60" w:line="276" w:lineRule="auto"/>
        <w:ind w:left="1418" w:hanging="851"/>
      </w:pPr>
    </w:p>
    <w:p w:rsidR="002833E7" w:rsidRPr="00CC640D" w:rsidRDefault="002833E7" w:rsidP="000C2AF2">
      <w:pPr>
        <w:pStyle w:val="Cmsor2"/>
        <w:spacing w:line="276" w:lineRule="auto"/>
        <w:rPr>
          <w:i w:val="0"/>
        </w:rPr>
      </w:pPr>
      <w:bookmarkStart w:id="88" w:name="_Toc520116552"/>
      <w:bookmarkStart w:id="89" w:name="_Toc520116602"/>
      <w:bookmarkStart w:id="90" w:name="_Toc520117598"/>
      <w:bookmarkStart w:id="91" w:name="_Toc520117742"/>
      <w:r>
        <w:t>A D</w:t>
      </w:r>
      <w:r w:rsidRPr="000C2AF2">
        <w:rPr>
          <w:vertAlign w:val="subscript"/>
        </w:rPr>
        <w:t>i</w:t>
      </w:r>
      <w:r>
        <w:t xml:space="preserve"> tényező számítása</w:t>
      </w:r>
      <w:bookmarkEnd w:id="88"/>
      <w:bookmarkEnd w:id="89"/>
      <w:bookmarkEnd w:id="90"/>
      <w:bookmarkEnd w:id="91"/>
    </w:p>
    <w:p w:rsidR="002833E7" w:rsidRDefault="002833E7" w:rsidP="000C2AF2">
      <w:pPr>
        <w:tabs>
          <w:tab w:val="left" w:pos="1418"/>
        </w:tabs>
        <w:spacing w:line="276" w:lineRule="auto"/>
        <w:jc w:val="center"/>
      </w:pPr>
      <w:r w:rsidRPr="001D3E31">
        <w:rPr>
          <w:position w:val="-30"/>
        </w:rPr>
        <w:object w:dxaOrig="30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1pt;height:35.05pt" o:ole="" fillcolor="window">
            <v:imagedata r:id="rId9" o:title=""/>
          </v:shape>
          <o:OLEObject Type="Embed" ProgID="Equation.3" ShapeID="_x0000_i1025" DrawAspect="Content" ObjectID="_1597224750" r:id="rId10"/>
        </w:object>
      </w:r>
    </w:p>
    <w:p w:rsidR="002833E7" w:rsidRPr="00CC640D" w:rsidRDefault="002833E7" w:rsidP="000C2AF2">
      <w:pPr>
        <w:pStyle w:val="Cmsor2"/>
        <w:spacing w:line="276" w:lineRule="auto"/>
        <w:rPr>
          <w:i w:val="0"/>
        </w:rPr>
      </w:pPr>
      <w:bookmarkStart w:id="92" w:name="_Toc520116553"/>
      <w:bookmarkStart w:id="93" w:name="_Toc520116603"/>
      <w:bookmarkStart w:id="94" w:name="_Toc520117599"/>
      <w:bookmarkStart w:id="95" w:name="_Toc520117743"/>
      <w:r>
        <w:lastRenderedPageBreak/>
        <w:t>A D</w:t>
      </w:r>
      <w:r w:rsidRPr="000C2AF2">
        <w:rPr>
          <w:vertAlign w:val="subscript"/>
        </w:rPr>
        <w:t>i</w:t>
      </w:r>
      <w:r>
        <w:t xml:space="preserve"> tényező változói</w:t>
      </w:r>
      <w:bookmarkEnd w:id="92"/>
      <w:bookmarkEnd w:id="93"/>
      <w:bookmarkEnd w:id="94"/>
      <w:bookmarkEnd w:id="95"/>
    </w:p>
    <w:p w:rsidR="002833E7" w:rsidRDefault="002833E7" w:rsidP="000C2AF2">
      <w:pPr>
        <w:tabs>
          <w:tab w:val="left" w:pos="1985"/>
        </w:tabs>
        <w:spacing w:after="60" w:line="276" w:lineRule="auto"/>
        <w:ind w:left="1985" w:hanging="1418"/>
      </w:pPr>
      <w:r>
        <w:object w:dxaOrig="320" w:dyaOrig="360">
          <v:shape id="_x0000_i1026" type="#_x0000_t75" style="width:15.45pt;height:19.15pt" o:ole="" fillcolor="window">
            <v:imagedata r:id="rId11" o:title=""/>
          </v:shape>
          <o:OLEObject Type="Embed" ProgID="Equation.3" ShapeID="_x0000_i1026" DrawAspect="Content" ObjectID="_1597224751" r:id="rId12"/>
        </w:object>
      </w:r>
      <w:r>
        <w:tab/>
        <w:t xml:space="preserve">az a nap, amikor az adott ingatlan alap árfolyama először </w:t>
      </w:r>
      <w:r w:rsidR="00E6154D">
        <w:t xml:space="preserve">a kifizetett </w:t>
      </w:r>
      <w:r>
        <w:t>hozam nélkül jelenik meg</w:t>
      </w:r>
    </w:p>
    <w:p w:rsidR="002833E7" w:rsidRDefault="002833E7" w:rsidP="000C2AF2">
      <w:pPr>
        <w:tabs>
          <w:tab w:val="left" w:pos="1985"/>
        </w:tabs>
        <w:spacing w:after="60" w:line="276" w:lineRule="auto"/>
        <w:ind w:left="1985" w:hanging="1418"/>
      </w:pPr>
      <w:r>
        <w:object w:dxaOrig="760" w:dyaOrig="360">
          <v:shape id="_x0000_i1027" type="#_x0000_t75" style="width:38.35pt;height:19.15pt" o:ole="" fillcolor="window">
            <v:imagedata r:id="rId13" o:title=""/>
          </v:shape>
          <o:OLEObject Type="Embed" ProgID="Equation.3" ShapeID="_x0000_i1027" DrawAspect="Content" ObjectID="_1597224752" r:id="rId14"/>
        </w:object>
      </w:r>
      <w:r>
        <w:tab/>
        <w:t xml:space="preserve">az i. ingatlan alap árfolyama az </w:t>
      </w:r>
      <w:proofErr w:type="spellStart"/>
      <w:r>
        <w:rPr>
          <w:i/>
        </w:rPr>
        <w:t>E</w:t>
      </w:r>
      <w:r>
        <w:rPr>
          <w:i/>
          <w:vertAlign w:val="subscript"/>
        </w:rPr>
        <w:t>k</w:t>
      </w:r>
      <w:proofErr w:type="spellEnd"/>
      <w:r>
        <w:t xml:space="preserve"> napon</w:t>
      </w:r>
    </w:p>
    <w:p w:rsidR="002833E7" w:rsidRDefault="002833E7" w:rsidP="000C2AF2">
      <w:pPr>
        <w:tabs>
          <w:tab w:val="left" w:pos="1985"/>
        </w:tabs>
        <w:spacing w:after="60" w:line="276" w:lineRule="auto"/>
        <w:ind w:left="1985" w:hanging="1418"/>
      </w:pPr>
      <w:r>
        <w:object w:dxaOrig="340" w:dyaOrig="360">
          <v:shape id="_x0000_i1028" type="#_x0000_t75" style="width:17.3pt;height:19.15pt" o:ole="" fillcolor="window">
            <v:imagedata r:id="rId15" o:title=""/>
          </v:shape>
          <o:OLEObject Type="Embed" ProgID="Equation.3" ShapeID="_x0000_i1028" DrawAspect="Content" ObjectID="_1597224753" r:id="rId16"/>
        </w:object>
      </w:r>
      <w:r>
        <w:tab/>
        <w:t xml:space="preserve">az i. ingatlan alap által kifizetett </w:t>
      </w:r>
      <w:r w:rsidR="00751096">
        <w:t xml:space="preserve">hozam </w:t>
      </w:r>
      <w:r>
        <w:t>nagysága a k. kifizetéskor</w:t>
      </w:r>
    </w:p>
    <w:p w:rsidR="002833E7" w:rsidRDefault="002833E7" w:rsidP="000C2AF2">
      <w:pPr>
        <w:tabs>
          <w:tab w:val="left" w:pos="1985"/>
        </w:tabs>
        <w:spacing w:after="60" w:line="276" w:lineRule="auto"/>
        <w:ind w:left="1985" w:hanging="1418"/>
      </w:pPr>
      <w:r w:rsidRPr="001D3E31">
        <w:rPr>
          <w:position w:val="-12"/>
        </w:rPr>
        <w:object w:dxaOrig="1060" w:dyaOrig="360">
          <v:shape id="_x0000_i1029" type="#_x0000_t75" style="width:53.3pt;height:19.15pt" o:ole="" fillcolor="window">
            <v:imagedata r:id="rId17" o:title=""/>
          </v:shape>
          <o:OLEObject Type="Embed" ProgID="Equation.3" ShapeID="_x0000_i1029" DrawAspect="Content" ObjectID="_1597224754" r:id="rId18"/>
        </w:object>
      </w:r>
      <w:r>
        <w:tab/>
        <w:t xml:space="preserve">a D tényező értéke a k. </w:t>
      </w:r>
      <w:r w:rsidR="00751096">
        <w:t xml:space="preserve">hozamfizetéskor </w:t>
      </w:r>
      <w:r>
        <w:t xml:space="preserve">az E-1. napon (a </w:t>
      </w:r>
      <w:r w:rsidR="00751096">
        <w:t xml:space="preserve">hozamfizetést </w:t>
      </w:r>
      <w:r>
        <w:t xml:space="preserve">megelőző napon) </w:t>
      </w:r>
    </w:p>
    <w:p w:rsidR="006A7248" w:rsidRDefault="006A7248" w:rsidP="000C2AF2">
      <w:pPr>
        <w:tabs>
          <w:tab w:val="left" w:pos="1985"/>
        </w:tabs>
        <w:spacing w:after="60" w:line="276" w:lineRule="auto"/>
        <w:ind w:left="1985" w:hanging="1418"/>
      </w:pPr>
    </w:p>
    <w:p w:rsidR="002833E7" w:rsidRDefault="002833E7" w:rsidP="000C2AF2">
      <w:pPr>
        <w:numPr>
          <w:ilvl w:val="0"/>
          <w:numId w:val="7"/>
        </w:numPr>
        <w:tabs>
          <w:tab w:val="clear" w:pos="360"/>
          <w:tab w:val="num" w:pos="927"/>
          <w:tab w:val="left" w:pos="1418"/>
        </w:tabs>
        <w:spacing w:after="120" w:line="276" w:lineRule="auto"/>
        <w:ind w:left="927"/>
      </w:pPr>
      <w:r>
        <w:t xml:space="preserve">A fenti számítás alapján kapott </w:t>
      </w:r>
      <w:r>
        <w:rPr>
          <w:i/>
        </w:rPr>
        <w:t>D</w:t>
      </w:r>
      <w:r>
        <w:rPr>
          <w:i/>
          <w:vertAlign w:val="subscript"/>
        </w:rPr>
        <w:t>i</w:t>
      </w:r>
      <w:r>
        <w:t xml:space="preserve"> értékkel történő számolásra az </w:t>
      </w:r>
      <w:proofErr w:type="spellStart"/>
      <w:r>
        <w:rPr>
          <w:i/>
        </w:rPr>
        <w:t>E</w:t>
      </w:r>
      <w:r>
        <w:rPr>
          <w:i/>
          <w:vertAlign w:val="subscript"/>
        </w:rPr>
        <w:t>k</w:t>
      </w:r>
      <w:proofErr w:type="spellEnd"/>
      <w:r>
        <w:t xml:space="preserve"> napon kerül sor.</w:t>
      </w:r>
    </w:p>
    <w:p w:rsidR="002833E7" w:rsidRDefault="002833E7" w:rsidP="000C2AF2">
      <w:pPr>
        <w:numPr>
          <w:ilvl w:val="0"/>
          <w:numId w:val="7"/>
        </w:numPr>
        <w:tabs>
          <w:tab w:val="clear" w:pos="360"/>
          <w:tab w:val="num" w:pos="927"/>
        </w:tabs>
        <w:spacing w:after="120" w:line="276" w:lineRule="auto"/>
        <w:ind w:left="927"/>
      </w:pPr>
      <w:r>
        <w:t xml:space="preserve">A </w:t>
      </w:r>
      <w:r w:rsidRPr="001D3E31">
        <w:rPr>
          <w:position w:val="-12"/>
        </w:rPr>
        <w:object w:dxaOrig="300" w:dyaOrig="360">
          <v:shape id="_x0000_i1030" type="#_x0000_t75" style="width:14.95pt;height:19.15pt" o:ole="" fillcolor="window">
            <v:imagedata r:id="rId19" o:title=""/>
          </v:shape>
          <o:OLEObject Type="Embed" ProgID="Equation.3" ShapeID="_x0000_i1030" DrawAspect="Content" ObjectID="_1597224755" r:id="rId20"/>
        </w:object>
      </w:r>
      <w:r>
        <w:t xml:space="preserve"> értéke minden év április 1-én és október 1-én a kosár felülvizsgálatakor, visszaáll 1-re, a K korrekciója mellett.</w:t>
      </w:r>
    </w:p>
    <w:p w:rsidR="002833E7" w:rsidRDefault="00084045" w:rsidP="000C2AF2">
      <w:pPr>
        <w:pStyle w:val="Cmsor1"/>
        <w:keepNext/>
        <w:spacing w:line="276" w:lineRule="auto"/>
        <w:ind w:left="357" w:hanging="357"/>
      </w:pPr>
      <w:bookmarkStart w:id="96" w:name="_Toc520116554"/>
      <w:bookmarkStart w:id="97" w:name="_Toc520116604"/>
      <w:bookmarkStart w:id="98" w:name="_Toc520117600"/>
      <w:bookmarkStart w:id="99" w:name="_Toc520117744"/>
      <w:r>
        <w:t>Index</w:t>
      </w:r>
      <w:bookmarkStart w:id="100" w:name="_Toc520112552"/>
      <w:bookmarkStart w:id="101" w:name="_Toc520112553"/>
      <w:bookmarkStart w:id="102" w:name="_Toc520116555"/>
      <w:bookmarkStart w:id="103" w:name="_Toc520116605"/>
      <w:bookmarkStart w:id="104" w:name="_Toc520117601"/>
      <w:bookmarkStart w:id="105" w:name="_Toc520117745"/>
      <w:bookmarkStart w:id="106" w:name="_Toc520112554"/>
      <w:bookmarkStart w:id="107" w:name="_Toc520116556"/>
      <w:bookmarkStart w:id="108" w:name="_Toc520116606"/>
      <w:bookmarkStart w:id="109" w:name="_Toc520117602"/>
      <w:bookmarkStart w:id="110" w:name="_Toc520117746"/>
      <w:bookmarkStart w:id="111" w:name="_Toc520112555"/>
      <w:bookmarkStart w:id="112" w:name="_Toc520116557"/>
      <w:bookmarkStart w:id="113" w:name="_Toc520116607"/>
      <w:bookmarkStart w:id="114" w:name="_Toc520117603"/>
      <w:bookmarkStart w:id="115" w:name="_Toc520117747"/>
      <w:bookmarkStart w:id="116" w:name="_Toc520112556"/>
      <w:bookmarkStart w:id="117" w:name="_Toc520116558"/>
      <w:bookmarkStart w:id="118" w:name="_Toc520116608"/>
      <w:bookmarkStart w:id="119" w:name="_Toc520117604"/>
      <w:bookmarkStart w:id="120" w:name="_Toc520117748"/>
      <w:bookmarkStart w:id="121" w:name="_Toc520112557"/>
      <w:bookmarkStart w:id="122" w:name="_Toc520116559"/>
      <w:bookmarkStart w:id="123" w:name="_Toc520116609"/>
      <w:bookmarkStart w:id="124" w:name="_Toc520117605"/>
      <w:bookmarkStart w:id="125" w:name="_Toc520117749"/>
      <w:bookmarkStart w:id="126" w:name="_Toc520112558"/>
      <w:bookmarkStart w:id="127" w:name="_Toc520116560"/>
      <w:bookmarkStart w:id="128" w:name="_Toc520116610"/>
      <w:bookmarkStart w:id="129" w:name="_Toc520117606"/>
      <w:bookmarkStart w:id="130" w:name="_Toc520117750"/>
      <w:bookmarkStart w:id="131" w:name="_Toc520112559"/>
      <w:bookmarkStart w:id="132" w:name="_Toc520116561"/>
      <w:bookmarkStart w:id="133" w:name="_Toc520116611"/>
      <w:bookmarkStart w:id="134" w:name="_Toc520117607"/>
      <w:bookmarkStart w:id="135" w:name="_Toc520117751"/>
      <w:bookmarkStart w:id="136" w:name="_Toc520112560"/>
      <w:bookmarkStart w:id="137" w:name="_Toc520116562"/>
      <w:bookmarkStart w:id="138" w:name="_Toc520116612"/>
      <w:bookmarkStart w:id="139" w:name="_Toc520117608"/>
      <w:bookmarkStart w:id="140" w:name="_Toc520117752"/>
      <w:bookmarkStart w:id="141" w:name="_Toc520112561"/>
      <w:bookmarkStart w:id="142" w:name="_Toc520116563"/>
      <w:bookmarkStart w:id="143" w:name="_Toc520116613"/>
      <w:bookmarkStart w:id="144" w:name="_Toc520117609"/>
      <w:bookmarkStart w:id="145" w:name="_Toc520117753"/>
      <w:bookmarkStart w:id="146" w:name="_Toc520112562"/>
      <w:bookmarkStart w:id="147" w:name="_Toc520116564"/>
      <w:bookmarkStart w:id="148" w:name="_Toc520116614"/>
      <w:bookmarkStart w:id="149" w:name="_Toc520117610"/>
      <w:bookmarkStart w:id="150" w:name="_Toc520117754"/>
      <w:bookmarkStart w:id="151" w:name="_Toc520112563"/>
      <w:bookmarkStart w:id="152" w:name="_Toc520116565"/>
      <w:bookmarkStart w:id="153" w:name="_Toc520116615"/>
      <w:bookmarkStart w:id="154" w:name="_Toc520117611"/>
      <w:bookmarkStart w:id="155" w:name="_Toc520117755"/>
      <w:bookmarkStart w:id="156" w:name="_Toc520112564"/>
      <w:bookmarkStart w:id="157" w:name="_Toc520116566"/>
      <w:bookmarkStart w:id="158" w:name="_Toc520116616"/>
      <w:bookmarkStart w:id="159" w:name="_Toc520117612"/>
      <w:bookmarkStart w:id="160" w:name="_Toc520117756"/>
      <w:bookmarkStart w:id="161" w:name="_Toc520112565"/>
      <w:bookmarkStart w:id="162" w:name="_Toc520116567"/>
      <w:bookmarkStart w:id="163" w:name="_Toc520116617"/>
      <w:bookmarkStart w:id="164" w:name="_Toc520117613"/>
      <w:bookmarkStart w:id="165" w:name="_Toc520117757"/>
      <w:bookmarkStart w:id="166" w:name="_Toc520112566"/>
      <w:bookmarkStart w:id="167" w:name="_Toc520116568"/>
      <w:bookmarkStart w:id="168" w:name="_Toc520116618"/>
      <w:bookmarkStart w:id="169" w:name="_Toc520117614"/>
      <w:bookmarkStart w:id="170" w:name="_Toc520117758"/>
      <w:bookmarkStart w:id="171" w:name="_Toc520112567"/>
      <w:bookmarkStart w:id="172" w:name="_Toc520116569"/>
      <w:bookmarkStart w:id="173" w:name="_Toc520116619"/>
      <w:bookmarkStart w:id="174" w:name="_Toc520117615"/>
      <w:bookmarkStart w:id="175" w:name="_Toc520117759"/>
      <w:bookmarkStart w:id="176" w:name="_Toc520112568"/>
      <w:bookmarkStart w:id="177" w:name="_Toc520116570"/>
      <w:bookmarkStart w:id="178" w:name="_Toc520116620"/>
      <w:bookmarkStart w:id="179" w:name="_Toc520117616"/>
      <w:bookmarkStart w:id="180" w:name="_Toc520117760"/>
      <w:bookmarkStart w:id="181" w:name="_Toc520112569"/>
      <w:bookmarkStart w:id="182" w:name="_Toc520116571"/>
      <w:bookmarkStart w:id="183" w:name="_Toc520116621"/>
      <w:bookmarkStart w:id="184" w:name="_Toc520117617"/>
      <w:bookmarkStart w:id="185" w:name="_Toc520117761"/>
      <w:bookmarkStart w:id="186" w:name="_Toc520112570"/>
      <w:bookmarkStart w:id="187" w:name="_Toc520116572"/>
      <w:bookmarkStart w:id="188" w:name="_Toc520116622"/>
      <w:bookmarkStart w:id="189" w:name="_Toc520117618"/>
      <w:bookmarkStart w:id="190" w:name="_Toc520117762"/>
      <w:bookmarkStart w:id="191" w:name="_Toc520116573"/>
      <w:bookmarkStart w:id="192" w:name="_Toc520116623"/>
      <w:bookmarkStart w:id="193" w:name="_Toc520117619"/>
      <w:bookmarkStart w:id="194" w:name="_Toc520117763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r>
        <w:t>k</w:t>
      </w:r>
      <w:r w:rsidR="002833E7">
        <w:t>osár felülvizsgálata</w:t>
      </w:r>
      <w:bookmarkEnd w:id="191"/>
      <w:bookmarkEnd w:id="192"/>
      <w:bookmarkEnd w:id="193"/>
      <w:bookmarkEnd w:id="194"/>
    </w:p>
    <w:p w:rsidR="00FD75CC" w:rsidRPr="000C2AF2" w:rsidRDefault="00FD75CC" w:rsidP="000C2AF2">
      <w:pPr>
        <w:keepNext/>
        <w:spacing w:after="120" w:line="276" w:lineRule="auto"/>
        <w:ind w:left="567"/>
      </w:pPr>
      <w:r>
        <w:t>Az index</w:t>
      </w:r>
      <w:r w:rsidR="005121A0">
        <w:t>kosár</w:t>
      </w:r>
      <w:r>
        <w:t xml:space="preserve"> felülvizsgálatát a BAMOSZ végzi az alábbiakban meghatározott szabályok szerint.</w:t>
      </w:r>
    </w:p>
    <w:p w:rsidR="002833E7" w:rsidRPr="00CC640D" w:rsidRDefault="002833E7" w:rsidP="000C2AF2">
      <w:pPr>
        <w:pStyle w:val="Cmsor2"/>
        <w:spacing w:line="276" w:lineRule="auto"/>
        <w:rPr>
          <w:i w:val="0"/>
        </w:rPr>
      </w:pPr>
      <w:bookmarkStart w:id="195" w:name="_Toc520116574"/>
      <w:bookmarkStart w:id="196" w:name="_Toc520116624"/>
      <w:bookmarkStart w:id="197" w:name="_Toc520117620"/>
      <w:bookmarkStart w:id="198" w:name="_Toc520117764"/>
      <w:r>
        <w:t>A</w:t>
      </w:r>
      <w:r w:rsidR="00965B7D">
        <w:t>z index</w:t>
      </w:r>
      <w:r>
        <w:t>kosár felülvizsgálatának menete</w:t>
      </w:r>
      <w:bookmarkEnd w:id="195"/>
      <w:bookmarkEnd w:id="196"/>
      <w:bookmarkEnd w:id="197"/>
      <w:bookmarkEnd w:id="198"/>
    </w:p>
    <w:p w:rsidR="002833E7" w:rsidRDefault="002833E7" w:rsidP="000C2AF2">
      <w:pPr>
        <w:numPr>
          <w:ilvl w:val="0"/>
          <w:numId w:val="8"/>
        </w:numPr>
        <w:tabs>
          <w:tab w:val="clear" w:pos="360"/>
          <w:tab w:val="num" w:pos="862"/>
        </w:tabs>
        <w:spacing w:line="276" w:lineRule="auto"/>
        <w:ind w:left="862"/>
      </w:pPr>
      <w:r>
        <w:t xml:space="preserve">az új </w:t>
      </w:r>
      <w:r w:rsidR="00175D65">
        <w:t>indexkosár</w:t>
      </w:r>
      <w:r>
        <w:t xml:space="preserve">ba bekerülő </w:t>
      </w:r>
      <w:r w:rsidR="00FD75CC">
        <w:t>ingatlan</w:t>
      </w:r>
      <w:r>
        <w:t>alapok meghatározása</w:t>
      </w:r>
      <w:r w:rsidR="00DA4FE7">
        <w:t>, megfelelésük vizsgálata</w:t>
      </w:r>
      <w:r w:rsidR="00FD2304">
        <w:t xml:space="preserve"> (pl. új alap, felfüggesztett alap felfüggesztésének lejárta)</w:t>
      </w:r>
      <w:r>
        <w:t>;</w:t>
      </w:r>
    </w:p>
    <w:p w:rsidR="00B97949" w:rsidRDefault="00B97949" w:rsidP="000C2AF2">
      <w:pPr>
        <w:numPr>
          <w:ilvl w:val="0"/>
          <w:numId w:val="8"/>
        </w:numPr>
        <w:tabs>
          <w:tab w:val="clear" w:pos="360"/>
          <w:tab w:val="num" w:pos="862"/>
        </w:tabs>
        <w:spacing w:line="276" w:lineRule="auto"/>
        <w:ind w:left="862"/>
      </w:pPr>
      <w:r>
        <w:t>a</w:t>
      </w:r>
      <w:r w:rsidR="005121A0">
        <w:t>z</w:t>
      </w:r>
      <w:r>
        <w:t xml:space="preserve"> </w:t>
      </w:r>
      <w:r w:rsidR="00175D65">
        <w:t>indexkosár</w:t>
      </w:r>
      <w:r>
        <w:t xml:space="preserve">ból kikerülő alapok meghatározása (pl. </w:t>
      </w:r>
      <w:r w:rsidR="00157A1C">
        <w:t>olyan alapok/sorozatok, amelyek nem felelnek meg a 3.2. pontban meghatározott feltételeknek</w:t>
      </w:r>
      <w:r>
        <w:t>)</w:t>
      </w:r>
      <w:r w:rsidR="00FD2304">
        <w:t>;</w:t>
      </w:r>
    </w:p>
    <w:p w:rsidR="002833E7" w:rsidRDefault="002833E7" w:rsidP="000C2AF2">
      <w:pPr>
        <w:numPr>
          <w:ilvl w:val="0"/>
          <w:numId w:val="8"/>
        </w:numPr>
        <w:tabs>
          <w:tab w:val="clear" w:pos="360"/>
          <w:tab w:val="num" w:pos="862"/>
        </w:tabs>
        <w:spacing w:line="276" w:lineRule="auto"/>
        <w:ind w:left="862"/>
      </w:pPr>
      <w:r>
        <w:t>a</w:t>
      </w:r>
      <w:r w:rsidR="00157A1C">
        <w:t>z</w:t>
      </w:r>
      <w:r>
        <w:t xml:space="preserve"> </w:t>
      </w:r>
      <w:r w:rsidR="00175D65">
        <w:t>indexkosár</w:t>
      </w:r>
      <w:r>
        <w:t xml:space="preserve">ba bekerülő alapok </w:t>
      </w:r>
      <w:r w:rsidRPr="001D3E31">
        <w:rPr>
          <w:position w:val="-12"/>
        </w:rPr>
        <w:object w:dxaOrig="360" w:dyaOrig="360">
          <v:shape id="_x0000_i1031" type="#_x0000_t75" style="width:19.15pt;height:19.15pt" o:ole="" fillcolor="window">
            <v:imagedata r:id="rId21" o:title=""/>
          </v:shape>
          <o:OLEObject Type="Embed" ProgID="Equation.3" ShapeID="_x0000_i1031" DrawAspect="Content" ObjectID="_1597224756" r:id="rId22"/>
        </w:object>
      </w:r>
      <w:proofErr w:type="spellStart"/>
      <w:r>
        <w:t>-jának</w:t>
      </w:r>
      <w:proofErr w:type="spellEnd"/>
      <w:r w:rsidR="009F38BC">
        <w:t xml:space="preserve"> </w:t>
      </w:r>
      <w:r>
        <w:t xml:space="preserve">és </w:t>
      </w:r>
      <w:r w:rsidRPr="001D3E31">
        <w:rPr>
          <w:position w:val="-12"/>
        </w:rPr>
        <w:object w:dxaOrig="300" w:dyaOrig="360">
          <v:shape id="_x0000_i1032" type="#_x0000_t75" style="width:14.95pt;height:19.15pt" o:ole="" fillcolor="window">
            <v:imagedata r:id="rId23" o:title=""/>
          </v:shape>
          <o:OLEObject Type="Embed" ProgID="Equation.3" ShapeID="_x0000_i1032" DrawAspect="Content" ObjectID="_1597224757" r:id="rId24"/>
        </w:object>
      </w:r>
      <w:proofErr w:type="spellStart"/>
      <w:r>
        <w:t>-jének</w:t>
      </w:r>
      <w:proofErr w:type="spellEnd"/>
      <w:r>
        <w:t xml:space="preserve">, illetve az új </w:t>
      </w:r>
      <w:r>
        <w:rPr>
          <w:i/>
        </w:rPr>
        <w:t>K</w:t>
      </w:r>
      <w:r>
        <w:t xml:space="preserve"> értéknek a meghatározása;</w:t>
      </w:r>
    </w:p>
    <w:p w:rsidR="002833E7" w:rsidRDefault="002833E7" w:rsidP="000C2AF2">
      <w:pPr>
        <w:numPr>
          <w:ilvl w:val="0"/>
          <w:numId w:val="8"/>
        </w:numPr>
        <w:tabs>
          <w:tab w:val="clear" w:pos="360"/>
          <w:tab w:val="num" w:pos="862"/>
        </w:tabs>
        <w:spacing w:after="120" w:line="276" w:lineRule="auto"/>
        <w:ind w:left="862" w:hanging="357"/>
      </w:pPr>
      <w:r>
        <w:t xml:space="preserve">az új összetételű </w:t>
      </w:r>
      <w:r w:rsidR="00175D65">
        <w:t>indexkosár</w:t>
      </w:r>
      <w:r>
        <w:t xml:space="preserve"> bevezetése.</w:t>
      </w:r>
    </w:p>
    <w:p w:rsidR="002833E7" w:rsidRDefault="002833E7" w:rsidP="000C2AF2">
      <w:pPr>
        <w:pStyle w:val="Cmsor2"/>
        <w:spacing w:line="276" w:lineRule="auto"/>
      </w:pPr>
      <w:bookmarkStart w:id="199" w:name="_Toc520116575"/>
      <w:bookmarkStart w:id="200" w:name="_Toc520116625"/>
      <w:bookmarkStart w:id="201" w:name="_Toc520117621"/>
      <w:bookmarkStart w:id="202" w:name="_Toc520117765"/>
      <w:r>
        <w:t>A</w:t>
      </w:r>
      <w:r w:rsidR="000A4437">
        <w:t>z</w:t>
      </w:r>
      <w:r>
        <w:t xml:space="preserve"> </w:t>
      </w:r>
      <w:r w:rsidR="00175D65">
        <w:t>indexkosár</w:t>
      </w:r>
      <w:r>
        <w:t xml:space="preserve"> felülvizsgálatának </w:t>
      </w:r>
      <w:r w:rsidR="00DF770D">
        <w:t>időzítése</w:t>
      </w:r>
      <w:bookmarkEnd w:id="199"/>
      <w:bookmarkEnd w:id="200"/>
      <w:bookmarkEnd w:id="201"/>
      <w:bookmarkEnd w:id="202"/>
    </w:p>
    <w:p w:rsidR="00202648" w:rsidRPr="00210194" w:rsidRDefault="00210194" w:rsidP="000C2AF2">
      <w:pPr>
        <w:pStyle w:val="Cmsor3"/>
        <w:spacing w:line="276" w:lineRule="auto"/>
        <w:rPr>
          <w:i w:val="0"/>
        </w:rPr>
      </w:pPr>
      <w:bookmarkStart w:id="203" w:name="_Toc520116576"/>
      <w:bookmarkStart w:id="204" w:name="_Toc520116626"/>
      <w:bookmarkStart w:id="205" w:name="_Toc520117622"/>
      <w:bookmarkStart w:id="206" w:name="_Toc520117766"/>
      <w:r>
        <w:t>Rendes felülvizsgálat</w:t>
      </w:r>
      <w:bookmarkEnd w:id="203"/>
      <w:bookmarkEnd w:id="204"/>
      <w:bookmarkEnd w:id="205"/>
      <w:bookmarkEnd w:id="206"/>
    </w:p>
    <w:p w:rsidR="002833E7" w:rsidRDefault="002833E7" w:rsidP="000C2AF2">
      <w:pPr>
        <w:numPr>
          <w:ilvl w:val="0"/>
          <w:numId w:val="9"/>
        </w:numPr>
        <w:tabs>
          <w:tab w:val="clear" w:pos="360"/>
          <w:tab w:val="num" w:pos="927"/>
        </w:tabs>
        <w:spacing w:after="120" w:line="276" w:lineRule="auto"/>
        <w:ind w:left="924" w:hanging="357"/>
      </w:pPr>
      <w:r>
        <w:t>A</w:t>
      </w:r>
      <w:r w:rsidR="009B064B">
        <w:t>z</w:t>
      </w:r>
      <w:r>
        <w:t xml:space="preserve"> </w:t>
      </w:r>
      <w:r w:rsidR="00175D65">
        <w:t>indexkosár</w:t>
      </w:r>
      <w:r>
        <w:t xml:space="preserve"> felülvizsgálatára évente két alkalommal, előre meghatározott időpontokban kerül sor. Az új </w:t>
      </w:r>
      <w:r w:rsidR="00175D65">
        <w:t>indexkosár</w:t>
      </w:r>
      <w:r w:rsidR="009B064B">
        <w:t>-</w:t>
      </w:r>
      <w:r>
        <w:t xml:space="preserve">összetételnek megfelelő értékekkel történő indexszámításnak az időpontja </w:t>
      </w:r>
      <w:r w:rsidR="006B386C">
        <w:t xml:space="preserve">minden év </w:t>
      </w:r>
      <w:r>
        <w:t>április 1. és október 1., vagy az ezeket követő első munkanap.</w:t>
      </w:r>
    </w:p>
    <w:p w:rsidR="00210194" w:rsidRDefault="00210194" w:rsidP="000C2AF2">
      <w:pPr>
        <w:pStyle w:val="Cmsor3"/>
        <w:spacing w:line="276" w:lineRule="auto"/>
      </w:pPr>
      <w:bookmarkStart w:id="207" w:name="_Toc520116577"/>
      <w:bookmarkStart w:id="208" w:name="_Toc520116627"/>
      <w:bookmarkStart w:id="209" w:name="_Toc520117623"/>
      <w:bookmarkStart w:id="210" w:name="_Toc520117767"/>
      <w:r>
        <w:t>Rendkívüli</w:t>
      </w:r>
      <w:r w:rsidRPr="00210194">
        <w:t xml:space="preserve"> felülvizsgálat</w:t>
      </w:r>
      <w:bookmarkEnd w:id="207"/>
      <w:bookmarkEnd w:id="208"/>
      <w:bookmarkEnd w:id="209"/>
      <w:bookmarkEnd w:id="210"/>
    </w:p>
    <w:p w:rsidR="00DF770D" w:rsidRDefault="00AA269F" w:rsidP="000C2AF2">
      <w:pPr>
        <w:numPr>
          <w:ilvl w:val="0"/>
          <w:numId w:val="9"/>
        </w:numPr>
        <w:tabs>
          <w:tab w:val="clear" w:pos="360"/>
          <w:tab w:val="num" w:pos="927"/>
        </w:tabs>
        <w:spacing w:after="120" w:line="276" w:lineRule="auto"/>
        <w:ind w:left="924" w:hanging="357"/>
      </w:pPr>
      <w:r>
        <w:t>Abban az esetben, ha a rendes felülvizsgálat</w:t>
      </w:r>
      <w:r w:rsidR="000C3FBA">
        <w:t xml:space="preserve"> során meghatározott indexkosár bármely tagja már nem felel meg a 3.2. pontban meghatározott feltételeknek</w:t>
      </w:r>
      <w:r w:rsidR="004718EC">
        <w:t xml:space="preserve">, azonnali hatállyal </w:t>
      </w:r>
      <w:r w:rsidR="00BC4434">
        <w:t xml:space="preserve">rendkívüli </w:t>
      </w:r>
      <w:r w:rsidR="000624C9">
        <w:t xml:space="preserve">indexkosár </w:t>
      </w:r>
      <w:r w:rsidR="00BC4434">
        <w:t>felülvizsgálatot kell végezni.</w:t>
      </w:r>
    </w:p>
    <w:p w:rsidR="002833E7" w:rsidRPr="00A94BB1" w:rsidRDefault="002833E7" w:rsidP="000C2AF2">
      <w:pPr>
        <w:pStyle w:val="Cmsor2"/>
        <w:spacing w:line="276" w:lineRule="auto"/>
        <w:rPr>
          <w:i w:val="0"/>
        </w:rPr>
      </w:pPr>
      <w:bookmarkStart w:id="211" w:name="_Toc520116578"/>
      <w:bookmarkStart w:id="212" w:name="_Toc520116628"/>
      <w:bookmarkStart w:id="213" w:name="_Toc520117624"/>
      <w:bookmarkStart w:id="214" w:name="_Toc520117768"/>
      <w:r>
        <w:t xml:space="preserve">Az új </w:t>
      </w:r>
      <w:r w:rsidR="00175D65">
        <w:t>indexkosár</w:t>
      </w:r>
      <w:r>
        <w:t xml:space="preserve"> bevezetését megelőző módosítások</w:t>
      </w:r>
      <w:bookmarkEnd w:id="211"/>
      <w:bookmarkEnd w:id="212"/>
      <w:bookmarkEnd w:id="213"/>
      <w:bookmarkEnd w:id="214"/>
    </w:p>
    <w:p w:rsidR="002833E7" w:rsidRDefault="002833E7" w:rsidP="000C2AF2">
      <w:pPr>
        <w:numPr>
          <w:ilvl w:val="0"/>
          <w:numId w:val="10"/>
        </w:numPr>
        <w:tabs>
          <w:tab w:val="clear" w:pos="360"/>
          <w:tab w:val="num" w:pos="927"/>
        </w:tabs>
        <w:spacing w:before="120" w:line="276" w:lineRule="auto"/>
        <w:ind w:left="927"/>
      </w:pPr>
      <w:r>
        <w:t>az indexben lévő alapok mutatóinak kiszámolása (</w:t>
      </w:r>
      <w:r w:rsidRPr="001D3E31">
        <w:rPr>
          <w:position w:val="-14"/>
        </w:rPr>
        <w:object w:dxaOrig="740" w:dyaOrig="380">
          <v:shape id="_x0000_i1033" type="#_x0000_t75" style="width:36.45pt;height:19.15pt" o:ole="" fillcolor="window">
            <v:imagedata r:id="rId25" o:title=""/>
          </v:shape>
          <o:OLEObject Type="Embed" ProgID="Equation.3" ShapeID="_x0000_i1033" DrawAspect="Content" ObjectID="_1597224758" r:id="rId26"/>
        </w:object>
      </w:r>
      <w:r>
        <w:t>)</w:t>
      </w:r>
    </w:p>
    <w:p w:rsidR="002833E7" w:rsidRDefault="002833E7" w:rsidP="000C2AF2">
      <w:pPr>
        <w:numPr>
          <w:ilvl w:val="0"/>
          <w:numId w:val="9"/>
        </w:numPr>
        <w:tabs>
          <w:tab w:val="clear" w:pos="360"/>
          <w:tab w:val="num" w:pos="862"/>
          <w:tab w:val="num" w:pos="927"/>
        </w:tabs>
        <w:spacing w:after="120" w:line="276" w:lineRule="auto"/>
        <w:ind w:left="924" w:hanging="357"/>
      </w:pPr>
      <w:r>
        <w:lastRenderedPageBreak/>
        <w:t>a K korrekciós tényező módosítása</w:t>
      </w:r>
    </w:p>
    <w:p w:rsidR="002833E7" w:rsidRPr="00A94BB1" w:rsidRDefault="002833E7" w:rsidP="000C2AF2">
      <w:pPr>
        <w:pStyle w:val="Cmsor2"/>
        <w:keepNext/>
        <w:spacing w:line="276" w:lineRule="auto"/>
        <w:ind w:left="578" w:hanging="578"/>
        <w:rPr>
          <w:i w:val="0"/>
        </w:rPr>
      </w:pPr>
      <w:bookmarkStart w:id="215" w:name="_Toc520116579"/>
      <w:bookmarkStart w:id="216" w:name="_Toc520116629"/>
      <w:bookmarkStart w:id="217" w:name="_Toc520117625"/>
      <w:bookmarkStart w:id="218" w:name="_Toc520117769"/>
      <w:r>
        <w:t>A K korrekciós tényező számításának módja</w:t>
      </w:r>
      <w:bookmarkEnd w:id="215"/>
      <w:bookmarkEnd w:id="216"/>
      <w:bookmarkEnd w:id="217"/>
      <w:bookmarkEnd w:id="218"/>
    </w:p>
    <w:p w:rsidR="002833E7" w:rsidRDefault="002833E7" w:rsidP="000C2AF2">
      <w:pPr>
        <w:spacing w:line="276" w:lineRule="auto"/>
        <w:ind w:left="720"/>
        <w:jc w:val="center"/>
      </w:pPr>
      <w:r w:rsidRPr="001D3E31">
        <w:rPr>
          <w:position w:val="-34"/>
        </w:rPr>
        <w:object w:dxaOrig="2340" w:dyaOrig="800">
          <v:shape id="_x0000_i1034" type="#_x0000_t75" style="width:116.9pt;height:40.2pt" o:ole="" fillcolor="window">
            <v:imagedata r:id="rId27" o:title=""/>
          </v:shape>
          <o:OLEObject Type="Embed" ProgID="Equation.3" ShapeID="_x0000_i1034" DrawAspect="Content" ObjectID="_1597224759" r:id="rId28"/>
        </w:object>
      </w:r>
    </w:p>
    <w:p w:rsidR="002833E7" w:rsidRPr="00A94BB1" w:rsidRDefault="002833E7" w:rsidP="000C2AF2">
      <w:pPr>
        <w:pStyle w:val="Cmsor2"/>
        <w:spacing w:line="276" w:lineRule="auto"/>
        <w:rPr>
          <w:i w:val="0"/>
        </w:rPr>
      </w:pPr>
      <w:bookmarkStart w:id="219" w:name="_Toc520116580"/>
      <w:bookmarkStart w:id="220" w:name="_Toc520116630"/>
      <w:bookmarkStart w:id="221" w:name="_Toc520117626"/>
      <w:bookmarkStart w:id="222" w:name="_Toc520117770"/>
      <w:r>
        <w:t>A K korrekciós tényező változói</w:t>
      </w:r>
      <w:bookmarkEnd w:id="219"/>
      <w:bookmarkEnd w:id="220"/>
      <w:bookmarkEnd w:id="221"/>
      <w:bookmarkEnd w:id="222"/>
    </w:p>
    <w:p w:rsidR="002833E7" w:rsidRDefault="002833E7" w:rsidP="000C2AF2">
      <w:pPr>
        <w:tabs>
          <w:tab w:val="left" w:pos="1985"/>
        </w:tabs>
        <w:spacing w:line="276" w:lineRule="auto"/>
        <w:ind w:left="1985" w:hanging="1418"/>
      </w:pPr>
      <w:r w:rsidRPr="001D3E31">
        <w:rPr>
          <w:position w:val="-14"/>
        </w:rPr>
        <w:object w:dxaOrig="1120" w:dyaOrig="400">
          <v:shape id="_x0000_i1035" type="#_x0000_t75" style="width:56.1pt;height:20.55pt" o:ole="" fillcolor="window">
            <v:imagedata r:id="rId29" o:title=""/>
          </v:shape>
          <o:OLEObject Type="Embed" ProgID="Equation.3" ShapeID="_x0000_i1035" DrawAspect="Content" ObjectID="_1597224760" r:id="rId30"/>
        </w:object>
      </w:r>
      <w:r>
        <w:tab/>
        <w:t>T napon a régi kosárösszetétellel számolt index számlálójának és nevezőjének hányadosa</w:t>
      </w:r>
    </w:p>
    <w:p w:rsidR="008F05E2" w:rsidRDefault="002833E7" w:rsidP="000C2AF2">
      <w:pPr>
        <w:tabs>
          <w:tab w:val="left" w:pos="1985"/>
        </w:tabs>
        <w:spacing w:line="276" w:lineRule="auto"/>
        <w:ind w:left="1985" w:hanging="1418"/>
      </w:pPr>
      <w:r w:rsidRPr="001D3E31">
        <w:rPr>
          <w:position w:val="-14"/>
        </w:rPr>
        <w:object w:dxaOrig="940" w:dyaOrig="400">
          <v:shape id="_x0000_i1036" type="#_x0000_t75" style="width:47.2pt;height:20.55pt" o:ole="" fillcolor="window">
            <v:imagedata r:id="rId31" o:title=""/>
          </v:shape>
          <o:OLEObject Type="Embed" ProgID="Equation.3" ShapeID="_x0000_i1036" DrawAspect="Content" ObjectID="_1597224761" r:id="rId32"/>
        </w:object>
      </w:r>
      <w:r>
        <w:tab/>
        <w:t>T napon a felülvizsgálat alapján kapott új kosárösszetétellel számolt index számlálójának és nevezőjének hányadosa</w:t>
      </w:r>
    </w:p>
    <w:p w:rsidR="008F05E2" w:rsidRDefault="008F05E2" w:rsidP="000C2AF2">
      <w:pPr>
        <w:tabs>
          <w:tab w:val="left" w:pos="1985"/>
        </w:tabs>
        <w:spacing w:line="276" w:lineRule="auto"/>
        <w:ind w:left="1985" w:hanging="1418"/>
      </w:pPr>
    </w:p>
    <w:p w:rsidR="007206B6" w:rsidRDefault="008F05E2" w:rsidP="000C2AF2">
      <w:pPr>
        <w:pStyle w:val="Cmsor2"/>
        <w:spacing w:line="276" w:lineRule="auto"/>
      </w:pPr>
      <w:bookmarkStart w:id="223" w:name="_Toc520116581"/>
      <w:bookmarkStart w:id="224" w:name="_Toc520116631"/>
      <w:bookmarkStart w:id="225" w:name="_Toc520117627"/>
      <w:bookmarkStart w:id="226" w:name="_Toc520117771"/>
      <w:r>
        <w:t>Kö</w:t>
      </w:r>
      <w:r w:rsidR="00D55165">
        <w:t>zzététel</w:t>
      </w:r>
      <w:bookmarkEnd w:id="223"/>
      <w:bookmarkEnd w:id="224"/>
      <w:bookmarkEnd w:id="225"/>
      <w:bookmarkEnd w:id="226"/>
    </w:p>
    <w:p w:rsidR="007206B6" w:rsidRDefault="006F57EF" w:rsidP="000C2AF2">
      <w:pPr>
        <w:spacing w:after="120" w:line="276" w:lineRule="auto"/>
        <w:ind w:left="567"/>
      </w:pPr>
      <w:r>
        <w:t>A BAMOSZ</w:t>
      </w:r>
      <w:r w:rsidR="00C92078">
        <w:t xml:space="preserve"> a honlapján (</w:t>
      </w:r>
      <w:hyperlink r:id="rId33" w:history="1">
        <w:r w:rsidR="00C92078" w:rsidRPr="00B440B6">
          <w:rPr>
            <w:rStyle w:val="Hiperhivatkozs"/>
          </w:rPr>
          <w:t>www.bamosz.hu</w:t>
        </w:r>
      </w:hyperlink>
      <w:r w:rsidR="00C92078">
        <w:t>)</w:t>
      </w:r>
      <w:r>
        <w:t xml:space="preserve"> az indexkosár felülvizsgálatot követően azonnal </w:t>
      </w:r>
      <w:r w:rsidR="00C92078">
        <w:t xml:space="preserve">közzéteszi az </w:t>
      </w:r>
      <w:r w:rsidR="00C92078" w:rsidRPr="00C92078">
        <w:t xml:space="preserve">új összetételű </w:t>
      </w:r>
      <w:r w:rsidR="00C92078">
        <w:t xml:space="preserve">indexkosarat és a </w:t>
      </w:r>
      <w:r w:rsidR="00C92078" w:rsidRPr="000C2AF2">
        <w:rPr>
          <w:i/>
        </w:rPr>
        <w:t>K</w:t>
      </w:r>
      <w:r w:rsidR="00C92078">
        <w:t xml:space="preserve"> korrekciós tényező értékeit.</w:t>
      </w:r>
    </w:p>
    <w:p w:rsidR="00E74094" w:rsidRPr="00C92078" w:rsidRDefault="00E74094" w:rsidP="000C2AF2">
      <w:pPr>
        <w:spacing w:after="120" w:line="276" w:lineRule="auto"/>
        <w:ind w:left="567"/>
      </w:pPr>
      <w:r>
        <w:t xml:space="preserve">A BAMOSZ </w:t>
      </w:r>
      <w:r w:rsidR="000B66CB">
        <w:t>a honlapján kö</w:t>
      </w:r>
      <w:r w:rsidR="00BF78B1">
        <w:t xml:space="preserve">teles közzétenni a BIX index számításától kezdve valamennyi indexkosár összetételt és a </w:t>
      </w:r>
      <w:r w:rsidR="00BF78B1" w:rsidRPr="00BF78B1">
        <w:rPr>
          <w:i/>
        </w:rPr>
        <w:t>K</w:t>
      </w:r>
      <w:r w:rsidR="00BF78B1" w:rsidRPr="00BF78B1">
        <w:t xml:space="preserve"> korrekciós tényező</w:t>
      </w:r>
      <w:r w:rsidR="005318B8">
        <w:t>k</w:t>
      </w:r>
      <w:r w:rsidR="00BF78B1" w:rsidRPr="00BF78B1">
        <w:t xml:space="preserve"> értékeit</w:t>
      </w:r>
      <w:r w:rsidR="005318B8">
        <w:t xml:space="preserve"> annak érdekében, hogy a számítás reprodukálható és ellenőrizhető legyen.</w:t>
      </w:r>
    </w:p>
    <w:p w:rsidR="007206B6" w:rsidRDefault="007206B6" w:rsidP="000C2AF2">
      <w:pPr>
        <w:pStyle w:val="Cmsor1"/>
        <w:keepNext/>
        <w:spacing w:line="276" w:lineRule="auto"/>
        <w:ind w:left="357" w:hanging="357"/>
      </w:pPr>
      <w:bookmarkStart w:id="227" w:name="_Toc520116582"/>
      <w:bookmarkStart w:id="228" w:name="_Toc520116632"/>
      <w:bookmarkStart w:id="229" w:name="_Toc520117628"/>
      <w:bookmarkStart w:id="230" w:name="_Toc520117772"/>
      <w:r>
        <w:t>Publikáció</w:t>
      </w:r>
      <w:bookmarkEnd w:id="227"/>
      <w:bookmarkEnd w:id="228"/>
      <w:bookmarkEnd w:id="229"/>
      <w:bookmarkEnd w:id="230"/>
    </w:p>
    <w:p w:rsidR="002833E7" w:rsidRDefault="007206B6" w:rsidP="000C2AF2">
      <w:pPr>
        <w:spacing w:after="120" w:line="276" w:lineRule="auto"/>
        <w:ind w:left="567"/>
      </w:pPr>
      <w:r>
        <w:t>Az index</w:t>
      </w:r>
      <w:r w:rsidR="000E7532">
        <w:t xml:space="preserve">szel kapcsolatos információk </w:t>
      </w:r>
      <w:r w:rsidR="000E7532" w:rsidRPr="000E7532">
        <w:t>(indexértékek, indexkosár-összetétel, számítási paraméterek, határozatok, közlemények, stb.</w:t>
      </w:r>
      <w:r w:rsidR="000E7532">
        <w:t xml:space="preserve">) </w:t>
      </w:r>
      <w:r w:rsidR="000E7532" w:rsidRPr="000E7532">
        <w:t xml:space="preserve">elérhetők a </w:t>
      </w:r>
      <w:r w:rsidR="000E7532">
        <w:t>BAMOSZ hivatalos</w:t>
      </w:r>
      <w:r w:rsidR="000E7532" w:rsidRPr="000E7532">
        <w:t xml:space="preserve"> honlapján</w:t>
      </w:r>
      <w:r w:rsidR="000E7532">
        <w:t xml:space="preserve"> (</w:t>
      </w:r>
      <w:hyperlink r:id="rId34" w:history="1">
        <w:r w:rsidR="00A43820" w:rsidRPr="00B440B6">
          <w:rPr>
            <w:rStyle w:val="Hiperhivatkozs"/>
          </w:rPr>
          <w:t>www.bamosz.hu</w:t>
        </w:r>
      </w:hyperlink>
      <w:r w:rsidR="000E7532">
        <w:t>).</w:t>
      </w:r>
    </w:p>
    <w:p w:rsidR="00A43820" w:rsidRDefault="002C2896" w:rsidP="000C2AF2">
      <w:pPr>
        <w:pStyle w:val="Cmsor1"/>
        <w:spacing w:line="276" w:lineRule="auto"/>
        <w:ind w:left="357" w:hanging="357"/>
      </w:pPr>
      <w:bookmarkStart w:id="231" w:name="_Toc520116583"/>
      <w:bookmarkStart w:id="232" w:name="_Toc520116633"/>
      <w:bookmarkStart w:id="233" w:name="_Toc520117629"/>
      <w:bookmarkStart w:id="234" w:name="_Toc520117773"/>
      <w:r>
        <w:t>Kézikönyv felülvizsgálata</w:t>
      </w:r>
      <w:bookmarkEnd w:id="231"/>
      <w:bookmarkEnd w:id="232"/>
      <w:bookmarkEnd w:id="233"/>
      <w:bookmarkEnd w:id="234"/>
    </w:p>
    <w:p w:rsidR="00086F44" w:rsidRPr="00086F44" w:rsidRDefault="002C2896" w:rsidP="000C2AF2">
      <w:pPr>
        <w:spacing w:after="120" w:line="276" w:lineRule="auto"/>
        <w:ind w:left="567"/>
      </w:pPr>
      <w:r>
        <w:t xml:space="preserve">A BAMOSZ </w:t>
      </w:r>
      <w:r w:rsidR="00FD275A">
        <w:t xml:space="preserve">legalább évente egy alkalommal megvizsgálja </w:t>
      </w:r>
      <w:r w:rsidR="00282105">
        <w:t>jelen</w:t>
      </w:r>
      <w:r w:rsidR="00FD275A">
        <w:t xml:space="preserve"> </w:t>
      </w:r>
      <w:r w:rsidR="00282105">
        <w:t>Számítási Kézikönyv módosításának szükségességét</w:t>
      </w:r>
      <w:r w:rsidR="00E5339B">
        <w:t xml:space="preserve">. A Számítási Kézikönyv módosítását – a Főtitkár </w:t>
      </w:r>
      <w:r w:rsidR="00712BF4">
        <w:t xml:space="preserve">előterjesztése alapján – a BAMOSZ Elnöksége hagyja jóvá. A Számítási Kézikönyv változásait a </w:t>
      </w:r>
      <w:r w:rsidR="00E2159D">
        <w:t>BAMOSZ a honlapján (</w:t>
      </w:r>
      <w:hyperlink r:id="rId35" w:history="1">
        <w:r w:rsidR="00E2159D" w:rsidRPr="00B440B6">
          <w:rPr>
            <w:rStyle w:val="Hiperhivatkozs"/>
          </w:rPr>
          <w:t>www.bamosz.hu</w:t>
        </w:r>
      </w:hyperlink>
      <w:r w:rsidR="00E2159D">
        <w:t>) a hatálybalépés előtt legalább 10 naptári nappal közzéteszi.</w:t>
      </w:r>
    </w:p>
    <w:sectPr w:rsidR="00086F44" w:rsidRPr="00086F44" w:rsidSect="005124DF"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7" w:h="16840" w:code="9"/>
      <w:pgMar w:top="1134" w:right="1134" w:bottom="1134" w:left="1134" w:header="720" w:footer="58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A3B" w:rsidRDefault="002B1A3B">
      <w:r>
        <w:separator/>
      </w:r>
    </w:p>
  </w:endnote>
  <w:endnote w:type="continuationSeparator" w:id="0">
    <w:p w:rsidR="002B1A3B" w:rsidRDefault="002B1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CE 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Free 3 of 9 Extende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C1" w:rsidRDefault="001D3E3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343C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343C1">
      <w:rPr>
        <w:rStyle w:val="Oldalszm"/>
        <w:noProof/>
      </w:rPr>
      <w:t>1</w:t>
    </w:r>
    <w:r>
      <w:rPr>
        <w:rStyle w:val="Oldalszm"/>
      </w:rPr>
      <w:fldChar w:fldCharType="end"/>
    </w:r>
  </w:p>
  <w:p w:rsidR="00F343C1" w:rsidRDefault="00F343C1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07633"/>
      <w:docPartObj>
        <w:docPartGallery w:val="Page Numbers (Bottom of Page)"/>
        <w:docPartUnique/>
      </w:docPartObj>
    </w:sdtPr>
    <w:sdtContent>
      <w:p w:rsidR="00F343C1" w:rsidRDefault="001D3E31" w:rsidP="000C2AF2">
        <w:pPr>
          <w:pStyle w:val="llb"/>
          <w:pBdr>
            <w:top w:val="single" w:sz="4" w:space="1" w:color="auto"/>
          </w:pBdr>
          <w:jc w:val="center"/>
        </w:pPr>
        <w:r>
          <w:fldChar w:fldCharType="begin"/>
        </w:r>
        <w:r w:rsidR="00F343C1">
          <w:instrText>PAGE   \* MERGEFORMAT</w:instrText>
        </w:r>
        <w:r>
          <w:fldChar w:fldCharType="separate"/>
        </w:r>
        <w:r w:rsidR="002A3D19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C1" w:rsidRDefault="00F343C1">
    <w:pPr>
      <w:pStyle w:val="llb"/>
      <w:pBdr>
        <w:top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A3B" w:rsidRDefault="002B1A3B">
      <w:r>
        <w:separator/>
      </w:r>
    </w:p>
  </w:footnote>
  <w:footnote w:type="continuationSeparator" w:id="0">
    <w:p w:rsidR="002B1A3B" w:rsidRDefault="002B1A3B">
      <w:r>
        <w:continuationSeparator/>
      </w:r>
    </w:p>
  </w:footnote>
  <w:footnote w:id="1">
    <w:p w:rsidR="00F343C1" w:rsidRDefault="00F343C1">
      <w:pPr>
        <w:pStyle w:val="Lbjegyzetszveg"/>
      </w:pPr>
      <w:r>
        <w:rPr>
          <w:rStyle w:val="Lbjegyzet-hivatkozs"/>
        </w:rPr>
        <w:footnoteRef/>
      </w:r>
      <w:r>
        <w:t xml:space="preserve"> Nem lehet az index tagja az olyan n</w:t>
      </w:r>
      <w:r w:rsidRPr="00CB4137">
        <w:t>yilvános ingatlanalap</w:t>
      </w:r>
      <w:r>
        <w:t xml:space="preserve">, amely úgy rendelkezik, hogy </w:t>
      </w:r>
      <w:r w:rsidRPr="00CB4137">
        <w:t>az egy befektető által befektethető minimális kezdő befektetés tízmillió forint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C1" w:rsidRPr="00D85B34" w:rsidRDefault="00D85B34">
    <w:pPr>
      <w:pStyle w:val="lfej"/>
      <w:pBdr>
        <w:bottom w:val="single" w:sz="4" w:space="1" w:color="auto"/>
      </w:pBdr>
      <w:rPr>
        <w:rFonts w:ascii="Times New Roman" w:hAnsi="Times New Roman"/>
        <w:szCs w:val="24"/>
      </w:rPr>
    </w:pPr>
    <w:r w:rsidRPr="00D85B34">
      <w:rPr>
        <w:rFonts w:ascii="Free 3 of 9 Extended" w:hAnsi="Free 3 of 9 Extended"/>
        <w:color w:val="FFFFFF" w:themeColor="background1"/>
        <w:sz w:val="6"/>
        <w:szCs w:val="6"/>
      </w:rPr>
      <w:t>28 35 14 27 14 29 21 14 20 10 23 23 10</w:t>
    </w:r>
    <w:r>
      <w:rPr>
        <w:rFonts w:ascii="Free 3 of 9 Extended" w:hAnsi="Free 3 of 9 Extended"/>
        <w:color w:val="FFFFFF" w:themeColor="background1"/>
        <w:sz w:val="6"/>
        <w:szCs w:val="6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C1" w:rsidRDefault="00F343C1" w:rsidP="000C2AF2">
    <w:pPr>
      <w:pStyle w:val="lfej"/>
      <w:pBdr>
        <w:bottom w:val="single" w:sz="4" w:space="1" w:color="auto"/>
      </w:pBdr>
      <w:jc w:val="right"/>
    </w:pPr>
    <w:r>
      <w:rPr>
        <w:noProof/>
        <w:lang w:eastAsia="hu-HU"/>
      </w:rPr>
      <w:drawing>
        <wp:inline distT="0" distB="0" distL="0" distR="0">
          <wp:extent cx="1079500" cy="641703"/>
          <wp:effectExtent l="0" t="0" r="6350" b="6350"/>
          <wp:docPr id="10" name="Kép 10" descr="bamosz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bamosz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485" cy="647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4D7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A404E87"/>
    <w:multiLevelType w:val="singleLevel"/>
    <w:tmpl w:val="32BA96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9F78AA"/>
    <w:multiLevelType w:val="multilevel"/>
    <w:tmpl w:val="62746A68"/>
    <w:lvl w:ilvl="0">
      <w:start w:val="1"/>
      <w:numFmt w:val="decimal"/>
      <w:pStyle w:val="Cmsor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Cmsor3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38FB31BB"/>
    <w:multiLevelType w:val="multilevel"/>
    <w:tmpl w:val="1174CED0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359" w:hanging="432"/>
      </w:pPr>
    </w:lvl>
    <w:lvl w:ilvl="2">
      <w:start w:val="1"/>
      <w:numFmt w:val="none"/>
      <w:lvlText w:val=""/>
      <w:lvlJc w:val="left"/>
      <w:pPr>
        <w:tabs>
          <w:tab w:val="num" w:pos="1791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4">
    <w:nsid w:val="3A44147C"/>
    <w:multiLevelType w:val="singleLevel"/>
    <w:tmpl w:val="32BA96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EF8704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44D758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4CF3E9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8D829B7"/>
    <w:multiLevelType w:val="singleLevel"/>
    <w:tmpl w:val="32BA96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48E3E91"/>
    <w:multiLevelType w:val="hybridMultilevel"/>
    <w:tmpl w:val="EB408456"/>
    <w:lvl w:ilvl="0" w:tplc="8B1664B2">
      <w:start w:val="1"/>
      <w:numFmt w:val="lowerRoman"/>
      <w:lvlText w:val="(%1)"/>
      <w:lvlJc w:val="righ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320FD0"/>
    <w:multiLevelType w:val="multilevel"/>
    <w:tmpl w:val="A6B0358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359" w:hanging="432"/>
      </w:pPr>
    </w:lvl>
    <w:lvl w:ilvl="2">
      <w:start w:val="1"/>
      <w:numFmt w:val="none"/>
      <w:lvlText w:val=""/>
      <w:lvlJc w:val="left"/>
      <w:pPr>
        <w:tabs>
          <w:tab w:val="num" w:pos="1791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11">
    <w:nsid w:val="7D0164E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F8E4779"/>
    <w:multiLevelType w:val="singleLevel"/>
    <w:tmpl w:val="32BA96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8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10"/>
  </w:num>
  <w:num w:numId="12">
    <w:abstractNumId w:val="3"/>
  </w:num>
  <w:num w:numId="13">
    <w:abstractNumId w:val="9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04DF5"/>
    <w:rsid w:val="0000765B"/>
    <w:rsid w:val="0001462A"/>
    <w:rsid w:val="00015CC7"/>
    <w:rsid w:val="00022849"/>
    <w:rsid w:val="000367BD"/>
    <w:rsid w:val="00057E58"/>
    <w:rsid w:val="000624C9"/>
    <w:rsid w:val="000655E0"/>
    <w:rsid w:val="00065B3B"/>
    <w:rsid w:val="00066150"/>
    <w:rsid w:val="000710AE"/>
    <w:rsid w:val="00084045"/>
    <w:rsid w:val="00084AB4"/>
    <w:rsid w:val="00086F44"/>
    <w:rsid w:val="00097007"/>
    <w:rsid w:val="000A4437"/>
    <w:rsid w:val="000B66CB"/>
    <w:rsid w:val="000C2AF2"/>
    <w:rsid w:val="000C3FBA"/>
    <w:rsid w:val="000E103D"/>
    <w:rsid w:val="000E7532"/>
    <w:rsid w:val="000F7A2A"/>
    <w:rsid w:val="001115D0"/>
    <w:rsid w:val="00120D1A"/>
    <w:rsid w:val="00124519"/>
    <w:rsid w:val="00134AFA"/>
    <w:rsid w:val="001437E7"/>
    <w:rsid w:val="00151497"/>
    <w:rsid w:val="0015465F"/>
    <w:rsid w:val="00157A1C"/>
    <w:rsid w:val="0017275C"/>
    <w:rsid w:val="0017511C"/>
    <w:rsid w:val="00175D65"/>
    <w:rsid w:val="001A0C0E"/>
    <w:rsid w:val="001B19B7"/>
    <w:rsid w:val="001B38E3"/>
    <w:rsid w:val="001D3E31"/>
    <w:rsid w:val="001E0588"/>
    <w:rsid w:val="001E5F7E"/>
    <w:rsid w:val="001F14D8"/>
    <w:rsid w:val="001F54A1"/>
    <w:rsid w:val="00200CB0"/>
    <w:rsid w:val="00202648"/>
    <w:rsid w:val="00210194"/>
    <w:rsid w:val="00215D84"/>
    <w:rsid w:val="002177F4"/>
    <w:rsid w:val="00241C8C"/>
    <w:rsid w:val="00244A69"/>
    <w:rsid w:val="002509E8"/>
    <w:rsid w:val="00251AAD"/>
    <w:rsid w:val="00277B1D"/>
    <w:rsid w:val="00282105"/>
    <w:rsid w:val="002833E7"/>
    <w:rsid w:val="002A3D19"/>
    <w:rsid w:val="002A7E02"/>
    <w:rsid w:val="002B1A3B"/>
    <w:rsid w:val="002B446A"/>
    <w:rsid w:val="002C2896"/>
    <w:rsid w:val="002D06A1"/>
    <w:rsid w:val="002D7779"/>
    <w:rsid w:val="002E5697"/>
    <w:rsid w:val="002F7CD6"/>
    <w:rsid w:val="002F7EC8"/>
    <w:rsid w:val="00304B94"/>
    <w:rsid w:val="00307978"/>
    <w:rsid w:val="00313AA3"/>
    <w:rsid w:val="00320FDF"/>
    <w:rsid w:val="0032663F"/>
    <w:rsid w:val="00331FD8"/>
    <w:rsid w:val="00344A20"/>
    <w:rsid w:val="00353661"/>
    <w:rsid w:val="003804C1"/>
    <w:rsid w:val="00384EBE"/>
    <w:rsid w:val="00387FBE"/>
    <w:rsid w:val="003A4DF4"/>
    <w:rsid w:val="003C00FD"/>
    <w:rsid w:val="003C6CC2"/>
    <w:rsid w:val="003E4180"/>
    <w:rsid w:val="003E79F0"/>
    <w:rsid w:val="00420956"/>
    <w:rsid w:val="0045418C"/>
    <w:rsid w:val="00455DF0"/>
    <w:rsid w:val="004560E5"/>
    <w:rsid w:val="004616C0"/>
    <w:rsid w:val="004718EC"/>
    <w:rsid w:val="00471DE9"/>
    <w:rsid w:val="00475EC1"/>
    <w:rsid w:val="0047641A"/>
    <w:rsid w:val="0048799E"/>
    <w:rsid w:val="004A4C7B"/>
    <w:rsid w:val="004A743F"/>
    <w:rsid w:val="004C012F"/>
    <w:rsid w:val="004C05AC"/>
    <w:rsid w:val="004C3EC4"/>
    <w:rsid w:val="004F00E1"/>
    <w:rsid w:val="005121A0"/>
    <w:rsid w:val="005124DF"/>
    <w:rsid w:val="0051426B"/>
    <w:rsid w:val="00516ACF"/>
    <w:rsid w:val="00521128"/>
    <w:rsid w:val="00523137"/>
    <w:rsid w:val="0052463B"/>
    <w:rsid w:val="00527E44"/>
    <w:rsid w:val="00530B31"/>
    <w:rsid w:val="005318B8"/>
    <w:rsid w:val="0053587E"/>
    <w:rsid w:val="005461FB"/>
    <w:rsid w:val="00551FDA"/>
    <w:rsid w:val="005540A2"/>
    <w:rsid w:val="0057646E"/>
    <w:rsid w:val="0059563A"/>
    <w:rsid w:val="005958F2"/>
    <w:rsid w:val="00597C3F"/>
    <w:rsid w:val="005B313C"/>
    <w:rsid w:val="005C236F"/>
    <w:rsid w:val="005E4ED8"/>
    <w:rsid w:val="005E52AE"/>
    <w:rsid w:val="005F5A9F"/>
    <w:rsid w:val="005F5E05"/>
    <w:rsid w:val="005F69DE"/>
    <w:rsid w:val="00623FAB"/>
    <w:rsid w:val="0062448E"/>
    <w:rsid w:val="00642733"/>
    <w:rsid w:val="00654D5B"/>
    <w:rsid w:val="00657D0E"/>
    <w:rsid w:val="0066263B"/>
    <w:rsid w:val="006657FE"/>
    <w:rsid w:val="00672103"/>
    <w:rsid w:val="00684521"/>
    <w:rsid w:val="00691C94"/>
    <w:rsid w:val="00693087"/>
    <w:rsid w:val="006975FD"/>
    <w:rsid w:val="006A2A1E"/>
    <w:rsid w:val="006A7248"/>
    <w:rsid w:val="006B386C"/>
    <w:rsid w:val="006B3AEB"/>
    <w:rsid w:val="006B590F"/>
    <w:rsid w:val="006C28F3"/>
    <w:rsid w:val="006C2DAB"/>
    <w:rsid w:val="006D1960"/>
    <w:rsid w:val="006F57EF"/>
    <w:rsid w:val="006F6B4F"/>
    <w:rsid w:val="00711F71"/>
    <w:rsid w:val="00712BF4"/>
    <w:rsid w:val="00713782"/>
    <w:rsid w:val="00716903"/>
    <w:rsid w:val="007206B6"/>
    <w:rsid w:val="00725952"/>
    <w:rsid w:val="00725B1D"/>
    <w:rsid w:val="007275E0"/>
    <w:rsid w:val="00731C72"/>
    <w:rsid w:val="00740438"/>
    <w:rsid w:val="0075042C"/>
    <w:rsid w:val="00751096"/>
    <w:rsid w:val="00755462"/>
    <w:rsid w:val="0075752A"/>
    <w:rsid w:val="00773024"/>
    <w:rsid w:val="0078397B"/>
    <w:rsid w:val="007A096B"/>
    <w:rsid w:val="007D596E"/>
    <w:rsid w:val="007D657B"/>
    <w:rsid w:val="007E4C29"/>
    <w:rsid w:val="007F0186"/>
    <w:rsid w:val="007F1BF9"/>
    <w:rsid w:val="007F77E3"/>
    <w:rsid w:val="00800A19"/>
    <w:rsid w:val="00823380"/>
    <w:rsid w:val="0084640F"/>
    <w:rsid w:val="00846636"/>
    <w:rsid w:val="00851BE9"/>
    <w:rsid w:val="008635A2"/>
    <w:rsid w:val="00874D9F"/>
    <w:rsid w:val="00883BEC"/>
    <w:rsid w:val="00887855"/>
    <w:rsid w:val="0089602B"/>
    <w:rsid w:val="008A21D8"/>
    <w:rsid w:val="008A6031"/>
    <w:rsid w:val="008A7986"/>
    <w:rsid w:val="008B1941"/>
    <w:rsid w:val="008B7162"/>
    <w:rsid w:val="008B7676"/>
    <w:rsid w:val="008C6B5C"/>
    <w:rsid w:val="008F05E2"/>
    <w:rsid w:val="00903223"/>
    <w:rsid w:val="009076B3"/>
    <w:rsid w:val="00910A7D"/>
    <w:rsid w:val="00916A9F"/>
    <w:rsid w:val="009215C3"/>
    <w:rsid w:val="009237B8"/>
    <w:rsid w:val="00935E1F"/>
    <w:rsid w:val="00937E5A"/>
    <w:rsid w:val="009541EB"/>
    <w:rsid w:val="009550FF"/>
    <w:rsid w:val="00965B7D"/>
    <w:rsid w:val="009726B1"/>
    <w:rsid w:val="009875DB"/>
    <w:rsid w:val="009A7FEE"/>
    <w:rsid w:val="009B064B"/>
    <w:rsid w:val="009B7013"/>
    <w:rsid w:val="009D0BFB"/>
    <w:rsid w:val="009D1BAB"/>
    <w:rsid w:val="009F38BC"/>
    <w:rsid w:val="009F6871"/>
    <w:rsid w:val="00A1040E"/>
    <w:rsid w:val="00A10485"/>
    <w:rsid w:val="00A119C3"/>
    <w:rsid w:val="00A27CB5"/>
    <w:rsid w:val="00A43820"/>
    <w:rsid w:val="00A4485C"/>
    <w:rsid w:val="00A47FAE"/>
    <w:rsid w:val="00A72D14"/>
    <w:rsid w:val="00A7651F"/>
    <w:rsid w:val="00A825D0"/>
    <w:rsid w:val="00A94BB1"/>
    <w:rsid w:val="00AA11D2"/>
    <w:rsid w:val="00AA269F"/>
    <w:rsid w:val="00AB0727"/>
    <w:rsid w:val="00AB2D79"/>
    <w:rsid w:val="00AC5B04"/>
    <w:rsid w:val="00AD3BAD"/>
    <w:rsid w:val="00AD7A68"/>
    <w:rsid w:val="00AE07ED"/>
    <w:rsid w:val="00AF11DE"/>
    <w:rsid w:val="00AF706A"/>
    <w:rsid w:val="00B0101F"/>
    <w:rsid w:val="00B04403"/>
    <w:rsid w:val="00B1049A"/>
    <w:rsid w:val="00B21EBB"/>
    <w:rsid w:val="00B2239D"/>
    <w:rsid w:val="00B26979"/>
    <w:rsid w:val="00B30443"/>
    <w:rsid w:val="00B418AE"/>
    <w:rsid w:val="00B452DF"/>
    <w:rsid w:val="00B463E5"/>
    <w:rsid w:val="00B52B18"/>
    <w:rsid w:val="00B730BC"/>
    <w:rsid w:val="00B75154"/>
    <w:rsid w:val="00B758EC"/>
    <w:rsid w:val="00B8361D"/>
    <w:rsid w:val="00B9013B"/>
    <w:rsid w:val="00B9091B"/>
    <w:rsid w:val="00B96A6B"/>
    <w:rsid w:val="00B97601"/>
    <w:rsid w:val="00B97949"/>
    <w:rsid w:val="00BA6352"/>
    <w:rsid w:val="00BB3A1C"/>
    <w:rsid w:val="00BB4E66"/>
    <w:rsid w:val="00BB5151"/>
    <w:rsid w:val="00BB6C56"/>
    <w:rsid w:val="00BC14EA"/>
    <w:rsid w:val="00BC4434"/>
    <w:rsid w:val="00BD0183"/>
    <w:rsid w:val="00BD3E21"/>
    <w:rsid w:val="00BE3FF9"/>
    <w:rsid w:val="00BF2F05"/>
    <w:rsid w:val="00BF4F5F"/>
    <w:rsid w:val="00BF78B1"/>
    <w:rsid w:val="00C17100"/>
    <w:rsid w:val="00C20992"/>
    <w:rsid w:val="00C262FB"/>
    <w:rsid w:val="00C35E6C"/>
    <w:rsid w:val="00C37049"/>
    <w:rsid w:val="00C43106"/>
    <w:rsid w:val="00C52BD3"/>
    <w:rsid w:val="00C5720D"/>
    <w:rsid w:val="00C63246"/>
    <w:rsid w:val="00C74B7B"/>
    <w:rsid w:val="00C75550"/>
    <w:rsid w:val="00C77674"/>
    <w:rsid w:val="00C80320"/>
    <w:rsid w:val="00C84E2C"/>
    <w:rsid w:val="00C92078"/>
    <w:rsid w:val="00CA3016"/>
    <w:rsid w:val="00CA6901"/>
    <w:rsid w:val="00CA6BC2"/>
    <w:rsid w:val="00CB2411"/>
    <w:rsid w:val="00CB4137"/>
    <w:rsid w:val="00CB4381"/>
    <w:rsid w:val="00CB539F"/>
    <w:rsid w:val="00CC640D"/>
    <w:rsid w:val="00CC7EFC"/>
    <w:rsid w:val="00CF5C15"/>
    <w:rsid w:val="00D04DF5"/>
    <w:rsid w:val="00D14385"/>
    <w:rsid w:val="00D40CE8"/>
    <w:rsid w:val="00D4425C"/>
    <w:rsid w:val="00D47442"/>
    <w:rsid w:val="00D50CCF"/>
    <w:rsid w:val="00D55165"/>
    <w:rsid w:val="00D563F0"/>
    <w:rsid w:val="00D61B96"/>
    <w:rsid w:val="00D7651F"/>
    <w:rsid w:val="00D80280"/>
    <w:rsid w:val="00D85B34"/>
    <w:rsid w:val="00DA4FE7"/>
    <w:rsid w:val="00DA5CB4"/>
    <w:rsid w:val="00DA7399"/>
    <w:rsid w:val="00DB3AAE"/>
    <w:rsid w:val="00DB655B"/>
    <w:rsid w:val="00DC2C43"/>
    <w:rsid w:val="00DE33CA"/>
    <w:rsid w:val="00DE37E1"/>
    <w:rsid w:val="00DE4216"/>
    <w:rsid w:val="00DF3D3C"/>
    <w:rsid w:val="00DF6996"/>
    <w:rsid w:val="00DF770D"/>
    <w:rsid w:val="00E10CD8"/>
    <w:rsid w:val="00E2159D"/>
    <w:rsid w:val="00E41124"/>
    <w:rsid w:val="00E436EC"/>
    <w:rsid w:val="00E46F20"/>
    <w:rsid w:val="00E47509"/>
    <w:rsid w:val="00E5339B"/>
    <w:rsid w:val="00E53F1A"/>
    <w:rsid w:val="00E6154D"/>
    <w:rsid w:val="00E662D8"/>
    <w:rsid w:val="00E74094"/>
    <w:rsid w:val="00E74854"/>
    <w:rsid w:val="00E86923"/>
    <w:rsid w:val="00E90F59"/>
    <w:rsid w:val="00E92E95"/>
    <w:rsid w:val="00E9330F"/>
    <w:rsid w:val="00EA0478"/>
    <w:rsid w:val="00EB6252"/>
    <w:rsid w:val="00EC0B54"/>
    <w:rsid w:val="00EC3BE7"/>
    <w:rsid w:val="00EC66CD"/>
    <w:rsid w:val="00ED23BC"/>
    <w:rsid w:val="00ED5F68"/>
    <w:rsid w:val="00EE4F5A"/>
    <w:rsid w:val="00EE5C79"/>
    <w:rsid w:val="00F1051E"/>
    <w:rsid w:val="00F1492C"/>
    <w:rsid w:val="00F15E9E"/>
    <w:rsid w:val="00F3129A"/>
    <w:rsid w:val="00F3310F"/>
    <w:rsid w:val="00F343C1"/>
    <w:rsid w:val="00F51791"/>
    <w:rsid w:val="00F61475"/>
    <w:rsid w:val="00F65DCE"/>
    <w:rsid w:val="00F672D6"/>
    <w:rsid w:val="00F70EF0"/>
    <w:rsid w:val="00F77A2D"/>
    <w:rsid w:val="00F85F84"/>
    <w:rsid w:val="00F87878"/>
    <w:rsid w:val="00FA0B75"/>
    <w:rsid w:val="00FA2AE8"/>
    <w:rsid w:val="00FB4CAE"/>
    <w:rsid w:val="00FD2304"/>
    <w:rsid w:val="00FD275A"/>
    <w:rsid w:val="00FD75CC"/>
    <w:rsid w:val="00FE5B42"/>
    <w:rsid w:val="00FE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D3E31"/>
    <w:pPr>
      <w:spacing w:line="320" w:lineRule="atLeast"/>
      <w:jc w:val="both"/>
    </w:pPr>
    <w:rPr>
      <w:rFonts w:ascii="Futura CE Book" w:hAnsi="Futura CE Book"/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C5720D"/>
    <w:pPr>
      <w:numPr>
        <w:numId w:val="1"/>
      </w:numPr>
      <w:spacing w:before="240" w:after="240" w:line="240" w:lineRule="auto"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D3E21"/>
    <w:pPr>
      <w:numPr>
        <w:ilvl w:val="1"/>
        <w:numId w:val="1"/>
      </w:numPr>
      <w:spacing w:before="120" w:after="120" w:line="240" w:lineRule="auto"/>
      <w:outlineLvl w:val="1"/>
    </w:pPr>
    <w:rPr>
      <w:i/>
    </w:rPr>
  </w:style>
  <w:style w:type="paragraph" w:styleId="Cmsor3">
    <w:name w:val="heading 3"/>
    <w:basedOn w:val="Cmsor2"/>
    <w:next w:val="Norml"/>
    <w:link w:val="Cmsor3Char"/>
    <w:unhideWhenUsed/>
    <w:qFormat/>
    <w:rsid w:val="00210194"/>
    <w:pPr>
      <w:numPr>
        <w:ilvl w:val="2"/>
      </w:numPr>
      <w:outlineLvl w:val="2"/>
    </w:pPr>
  </w:style>
  <w:style w:type="paragraph" w:styleId="Cmsor4">
    <w:name w:val="heading 4"/>
    <w:basedOn w:val="Norml"/>
    <w:next w:val="Norml"/>
    <w:link w:val="Cmsor4Char"/>
    <w:semiHidden/>
    <w:unhideWhenUsed/>
    <w:qFormat/>
    <w:rsid w:val="001F54A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1019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21019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21019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21019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21019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1D3E31"/>
    <w:pPr>
      <w:spacing w:before="1440"/>
      <w:jc w:val="center"/>
    </w:pPr>
    <w:rPr>
      <w:b/>
      <w:sz w:val="52"/>
    </w:rPr>
  </w:style>
  <w:style w:type="paragraph" w:styleId="Szvegtrzsbehzssal">
    <w:name w:val="Body Text Indent"/>
    <w:basedOn w:val="Norml"/>
    <w:rsid w:val="001D3E31"/>
    <w:pPr>
      <w:spacing w:before="120"/>
      <w:ind w:left="567"/>
    </w:pPr>
  </w:style>
  <w:style w:type="paragraph" w:styleId="Szvegtrzsbehzssal2">
    <w:name w:val="Body Text Indent 2"/>
    <w:basedOn w:val="Norml"/>
    <w:rsid w:val="001D3E31"/>
    <w:pPr>
      <w:tabs>
        <w:tab w:val="left" w:pos="567"/>
      </w:tabs>
      <w:spacing w:before="240" w:after="240"/>
      <w:ind w:left="567" w:hanging="567"/>
    </w:pPr>
  </w:style>
  <w:style w:type="paragraph" w:styleId="llb">
    <w:name w:val="footer"/>
    <w:basedOn w:val="Norml"/>
    <w:link w:val="llbChar"/>
    <w:uiPriority w:val="99"/>
    <w:rsid w:val="001D3E31"/>
    <w:pPr>
      <w:tabs>
        <w:tab w:val="center" w:pos="4153"/>
        <w:tab w:val="right" w:pos="8306"/>
      </w:tabs>
    </w:pPr>
  </w:style>
  <w:style w:type="character" w:styleId="Oldalszm">
    <w:name w:val="page number"/>
    <w:basedOn w:val="Bekezdsalapbettpusa"/>
    <w:rsid w:val="001D3E31"/>
  </w:style>
  <w:style w:type="paragraph" w:styleId="lfej">
    <w:name w:val="header"/>
    <w:basedOn w:val="Norml"/>
    <w:rsid w:val="001D3E31"/>
    <w:pPr>
      <w:tabs>
        <w:tab w:val="center" w:pos="4153"/>
        <w:tab w:val="right" w:pos="8306"/>
      </w:tabs>
    </w:pPr>
  </w:style>
  <w:style w:type="paragraph" w:styleId="Buborkszveg">
    <w:name w:val="Balloon Text"/>
    <w:basedOn w:val="Norml"/>
    <w:semiHidden/>
    <w:rsid w:val="001D3E31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7F018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F0186"/>
    <w:rPr>
      <w:sz w:val="20"/>
      <w:lang/>
    </w:rPr>
  </w:style>
  <w:style w:type="character" w:customStyle="1" w:styleId="JegyzetszvegChar">
    <w:name w:val="Jegyzetszöveg Char"/>
    <w:link w:val="Jegyzetszveg"/>
    <w:rsid w:val="007F0186"/>
    <w:rPr>
      <w:rFonts w:ascii="Futura CE Book" w:hAnsi="Futura CE Book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7F0186"/>
    <w:rPr>
      <w:b/>
      <w:bCs/>
    </w:rPr>
  </w:style>
  <w:style w:type="character" w:customStyle="1" w:styleId="MegjegyzstrgyaChar">
    <w:name w:val="Megjegyzés tárgya Char"/>
    <w:link w:val="Megjegyzstrgya"/>
    <w:rsid w:val="007F0186"/>
    <w:rPr>
      <w:rFonts w:ascii="Futura CE Book" w:hAnsi="Futura CE Book"/>
      <w:b/>
      <w:bCs/>
      <w:lang w:eastAsia="en-US"/>
    </w:rPr>
  </w:style>
  <w:style w:type="paragraph" w:styleId="Listaszerbekezds">
    <w:name w:val="List Paragraph"/>
    <w:basedOn w:val="Norml"/>
    <w:uiPriority w:val="34"/>
    <w:qFormat/>
    <w:rsid w:val="00AC5B04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00765B"/>
    <w:rPr>
      <w:color w:val="808080"/>
    </w:rPr>
  </w:style>
  <w:style w:type="character" w:customStyle="1" w:styleId="Cmsor1Char">
    <w:name w:val="Címsor 1 Char"/>
    <w:basedOn w:val="Bekezdsalapbettpusa"/>
    <w:link w:val="Cmsor1"/>
    <w:rsid w:val="00C5720D"/>
    <w:rPr>
      <w:rFonts w:ascii="Futura CE Book" w:hAnsi="Futura CE Book"/>
      <w:b/>
      <w:sz w:val="24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97C3F"/>
    <w:rPr>
      <w:rFonts w:ascii="Futura CE Book" w:hAnsi="Futura CE Book"/>
      <w:sz w:val="24"/>
      <w:lang w:eastAsia="en-US"/>
    </w:rPr>
  </w:style>
  <w:style w:type="paragraph" w:styleId="TJ1">
    <w:name w:val="toc 1"/>
    <w:basedOn w:val="Norml"/>
    <w:next w:val="Norml"/>
    <w:autoRedefine/>
    <w:uiPriority w:val="39"/>
    <w:rsid w:val="0089602B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89602B"/>
    <w:rPr>
      <w:color w:val="000000" w:themeColor="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C05AC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D3E21"/>
    <w:rPr>
      <w:rFonts w:ascii="Futura CE Book" w:hAnsi="Futura CE Book"/>
      <w:i/>
      <w:sz w:val="24"/>
      <w:lang w:eastAsia="en-US"/>
    </w:rPr>
  </w:style>
  <w:style w:type="character" w:customStyle="1" w:styleId="Cmsor4Char">
    <w:name w:val="Címsor 4 Char"/>
    <w:basedOn w:val="Bekezdsalapbettpusa"/>
    <w:link w:val="Cmsor4"/>
    <w:semiHidden/>
    <w:rsid w:val="001F54A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en-US"/>
    </w:rPr>
  </w:style>
  <w:style w:type="paragraph" w:styleId="Lbjegyzetszveg">
    <w:name w:val="footnote text"/>
    <w:basedOn w:val="Norml"/>
    <w:link w:val="LbjegyzetszvegChar"/>
    <w:rsid w:val="00CB4137"/>
    <w:pPr>
      <w:spacing w:line="240" w:lineRule="auto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CB4137"/>
    <w:rPr>
      <w:rFonts w:ascii="Futura CE Book" w:hAnsi="Futura CE Book"/>
      <w:lang w:eastAsia="en-US"/>
    </w:rPr>
  </w:style>
  <w:style w:type="character" w:styleId="Lbjegyzet-hivatkozs">
    <w:name w:val="footnote reference"/>
    <w:basedOn w:val="Bekezdsalapbettpusa"/>
    <w:rsid w:val="00CB4137"/>
    <w:rPr>
      <w:vertAlign w:val="superscript"/>
    </w:rPr>
  </w:style>
  <w:style w:type="table" w:styleId="Rcsostblzat">
    <w:name w:val="Table Grid"/>
    <w:basedOn w:val="Normltblzat"/>
    <w:rsid w:val="00530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J2">
    <w:name w:val="toc 2"/>
    <w:basedOn w:val="Norml"/>
    <w:next w:val="Norml"/>
    <w:autoRedefine/>
    <w:uiPriority w:val="39"/>
    <w:rsid w:val="00F343C1"/>
    <w:pPr>
      <w:spacing w:after="100"/>
      <w:ind w:left="240"/>
    </w:pPr>
  </w:style>
  <w:style w:type="character" w:customStyle="1" w:styleId="Cmsor3Char">
    <w:name w:val="Címsor 3 Char"/>
    <w:basedOn w:val="Bekezdsalapbettpusa"/>
    <w:link w:val="Cmsor3"/>
    <w:rsid w:val="00210194"/>
    <w:rPr>
      <w:rFonts w:ascii="Futura CE Book" w:hAnsi="Futura CE Book"/>
      <w:i/>
      <w:sz w:val="24"/>
      <w:lang w:eastAsia="en-US"/>
    </w:rPr>
  </w:style>
  <w:style w:type="character" w:customStyle="1" w:styleId="Cmsor5Char">
    <w:name w:val="Címsor 5 Char"/>
    <w:basedOn w:val="Bekezdsalapbettpusa"/>
    <w:link w:val="Cmsor5"/>
    <w:semiHidden/>
    <w:rsid w:val="00210194"/>
    <w:rPr>
      <w:rFonts w:asciiTheme="majorHAnsi" w:eastAsiaTheme="majorEastAsia" w:hAnsiTheme="majorHAnsi" w:cstheme="majorBidi"/>
      <w:color w:val="2E74B5" w:themeColor="accent1" w:themeShade="BF"/>
      <w:sz w:val="24"/>
      <w:lang w:eastAsia="en-US"/>
    </w:rPr>
  </w:style>
  <w:style w:type="character" w:customStyle="1" w:styleId="Cmsor6Char">
    <w:name w:val="Címsor 6 Char"/>
    <w:basedOn w:val="Bekezdsalapbettpusa"/>
    <w:link w:val="Cmsor6"/>
    <w:semiHidden/>
    <w:rsid w:val="00210194"/>
    <w:rPr>
      <w:rFonts w:asciiTheme="majorHAnsi" w:eastAsiaTheme="majorEastAsia" w:hAnsiTheme="majorHAnsi" w:cstheme="majorBidi"/>
      <w:color w:val="1F4D78" w:themeColor="accent1" w:themeShade="7F"/>
      <w:sz w:val="24"/>
      <w:lang w:eastAsia="en-US"/>
    </w:rPr>
  </w:style>
  <w:style w:type="character" w:customStyle="1" w:styleId="Cmsor7Char">
    <w:name w:val="Címsor 7 Char"/>
    <w:basedOn w:val="Bekezdsalapbettpusa"/>
    <w:link w:val="Cmsor7"/>
    <w:semiHidden/>
    <w:rsid w:val="00210194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eastAsia="en-US"/>
    </w:rPr>
  </w:style>
  <w:style w:type="character" w:customStyle="1" w:styleId="Cmsor8Char">
    <w:name w:val="Címsor 8 Char"/>
    <w:basedOn w:val="Bekezdsalapbettpusa"/>
    <w:link w:val="Cmsor8"/>
    <w:semiHidden/>
    <w:rsid w:val="0021019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Cmsor9Char">
    <w:name w:val="Címsor 9 Char"/>
    <w:basedOn w:val="Bekezdsalapbettpusa"/>
    <w:link w:val="Cmsor9"/>
    <w:semiHidden/>
    <w:rsid w:val="002101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J3">
    <w:name w:val="toc 3"/>
    <w:basedOn w:val="Norml"/>
    <w:next w:val="Norml"/>
    <w:autoRedefine/>
    <w:uiPriority w:val="39"/>
    <w:rsid w:val="00D47442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mosz.h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hyperlink" Target="http://www.bamosz.h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yperlink" Target="http://www.bamosz.hu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hyperlink" Target="http://www.bamosz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-téma">
  <a:themeElements>
    <a:clrScheme name="14. egyéni sém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00"/>
      </a:hlink>
      <a:folHlink>
        <a:srgbClr val="00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857F8-69B3-45DF-A7A8-E821BF87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1576</Words>
  <Characters>10882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Ingatlan Index</vt:lpstr>
    </vt:vector>
  </TitlesOfParts>
  <Company>Raiffeisen Bank</Company>
  <LinksUpToDate>false</LinksUpToDate>
  <CharactersWithSpaces>12434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Ingatlan Index</dc:title>
  <dc:creator>RBH</dc:creator>
  <cp:lastModifiedBy>Toti</cp:lastModifiedBy>
  <cp:revision>3</cp:revision>
  <cp:lastPrinted>2012-02-20T13:19:00Z</cp:lastPrinted>
  <dcterms:created xsi:type="dcterms:W3CDTF">2018-08-31T10:42:00Z</dcterms:created>
  <dcterms:modified xsi:type="dcterms:W3CDTF">2018-08-31T10:46:00Z</dcterms:modified>
</cp:coreProperties>
</file>