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045" w:rsidRDefault="00BE2045">
      <w:pPr>
        <w:pStyle w:val="Footer"/>
        <w:spacing w:line="36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6"/>
      </w:tblGrid>
      <w:tr w:rsidR="00537E5C" w:rsidRPr="00537E5C" w:rsidTr="00780EC1">
        <w:trPr>
          <w:trHeight w:val="1898"/>
        </w:trPr>
        <w:tc>
          <w:tcPr>
            <w:tcW w:w="9923" w:type="dxa"/>
            <w:tcBorders>
              <w:top w:val="single" w:sz="4" w:space="0" w:color="auto"/>
              <w:left w:val="single" w:sz="4" w:space="0" w:color="auto"/>
              <w:bottom w:val="single" w:sz="4" w:space="0" w:color="auto"/>
              <w:right w:val="single" w:sz="4" w:space="0" w:color="auto"/>
            </w:tcBorders>
          </w:tcPr>
          <w:p w:rsidR="00537E5C" w:rsidRPr="00537E5C" w:rsidRDefault="00537E5C" w:rsidP="00780EC1">
            <w:pPr>
              <w:pStyle w:val="Footer"/>
              <w:spacing w:line="360" w:lineRule="auto"/>
              <w:jc w:val="right"/>
              <w:rPr>
                <w:b/>
                <w:bCs/>
                <w:sz w:val="24"/>
                <w:szCs w:val="24"/>
                <w14:shadow w14:blurRad="50800" w14:dist="38100" w14:dir="2700000" w14:sx="100000" w14:sy="100000" w14:kx="0" w14:ky="0" w14:algn="tl">
                  <w14:srgbClr w14:val="000000">
                    <w14:alpha w14:val="60000"/>
                  </w14:srgbClr>
                </w14:shadow>
              </w:rPr>
            </w:pPr>
          </w:p>
          <w:p w:rsidR="00537E5C" w:rsidRPr="00537E5C" w:rsidRDefault="00537E5C" w:rsidP="00780EC1">
            <w:pPr>
              <w:pStyle w:val="Footer"/>
              <w:spacing w:line="360" w:lineRule="auto"/>
              <w:jc w:val="right"/>
              <w:rPr>
                <w:b/>
                <w:bCs/>
                <w:sz w:val="24"/>
                <w:szCs w:val="24"/>
                <w14:shadow w14:blurRad="50800" w14:dist="38100" w14:dir="2700000" w14:sx="100000" w14:sy="100000" w14:kx="0" w14:ky="0" w14:algn="tl">
                  <w14:srgbClr w14:val="000000">
                    <w14:alpha w14:val="60000"/>
                  </w14:srgbClr>
                </w14:shadow>
              </w:rPr>
            </w:pPr>
            <w:r>
              <w:object w:dxaOrig="5227" w:dyaOrig="2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1in" o:ole="">
                  <v:imagedata r:id="rId8" o:title=""/>
                </v:shape>
                <o:OLEObject Type="Embed" ProgID="DellImageExpertImage" ShapeID="_x0000_i1025" DrawAspect="Content" ObjectID="_1581937454" r:id="rId9"/>
              </w:object>
            </w:r>
            <w:r>
              <w:t xml:space="preserve">                                          </w:t>
            </w:r>
            <w:r>
              <w:rPr>
                <w:b/>
                <w:bCs/>
                <w:i/>
                <w:iCs/>
                <w:sz w:val="40"/>
                <w:szCs w:val="40"/>
                <w:lang w:val="en-US"/>
              </w:rPr>
              <w:t>Quarterly Statistical Release</w:t>
            </w:r>
            <w:r>
              <w:t xml:space="preserve">  </w:t>
            </w:r>
          </w:p>
        </w:tc>
      </w:tr>
    </w:tbl>
    <w:p w:rsidR="004B44B7" w:rsidRPr="004C7355" w:rsidRDefault="004B44B7">
      <w:pPr>
        <w:pStyle w:val="Footer"/>
        <w:spacing w:line="360" w:lineRule="auto"/>
        <w:jc w:val="right"/>
        <w:rPr>
          <w:b/>
          <w:bCs/>
          <w:sz w:val="24"/>
          <w:szCs w:val="24"/>
          <w:lang w:val="en-US"/>
          <w14:shadow w14:blurRad="50800" w14:dist="38100" w14:dir="2700000" w14:sx="100000" w14:sy="100000" w14:kx="0" w14:ky="0" w14:algn="tl">
            <w14:srgbClr w14:val="000000">
              <w14:alpha w14:val="60000"/>
            </w14:srgbClr>
          </w14:shadow>
        </w:rPr>
      </w:pPr>
    </w:p>
    <w:p w:rsidR="00BE2045" w:rsidRDefault="00BD1A9D">
      <w:pPr>
        <w:pStyle w:val="Footer"/>
        <w:spacing w:line="360" w:lineRule="auto"/>
        <w:jc w:val="right"/>
        <w:rPr>
          <w:rFonts w:ascii="Comic Sans MS" w:hAnsi="Comic Sans MS"/>
        </w:rPr>
      </w:pPr>
      <w:r>
        <w:rPr>
          <w:b/>
          <w:bCs/>
          <w:sz w:val="24"/>
          <w:szCs w:val="24"/>
          <w:lang w:val="en-US"/>
          <w14:shadow w14:blurRad="50800" w14:dist="38100" w14:dir="2700000" w14:sx="100000" w14:sy="100000" w14:kx="0" w14:ky="0" w14:algn="tl">
            <w14:srgbClr w14:val="000000">
              <w14:alpha w14:val="60000"/>
            </w14:srgbClr>
          </w14:shadow>
        </w:rPr>
        <w:t>March</w:t>
      </w:r>
      <w:r w:rsidR="00AA6EE4" w:rsidRPr="004C7355">
        <w:rPr>
          <w:b/>
          <w:bCs/>
          <w:sz w:val="24"/>
          <w:szCs w:val="24"/>
          <w:lang w:val="en-US"/>
          <w14:shadow w14:blurRad="50800" w14:dist="38100" w14:dir="2700000" w14:sx="100000" w14:sy="100000" w14:kx="0" w14:ky="0" w14:algn="tl">
            <w14:srgbClr w14:val="000000">
              <w14:alpha w14:val="60000"/>
            </w14:srgbClr>
          </w14:shadow>
        </w:rPr>
        <w:t xml:space="preserve"> </w:t>
      </w:r>
      <w:r w:rsidR="001C2BB5" w:rsidRPr="004C7355">
        <w:rPr>
          <w:b/>
          <w:bCs/>
          <w:sz w:val="24"/>
          <w:szCs w:val="24"/>
          <w14:shadow w14:blurRad="50800" w14:dist="38100" w14:dir="2700000" w14:sx="100000" w14:sy="100000" w14:kx="0" w14:ky="0" w14:algn="tl">
            <w14:srgbClr w14:val="000000">
              <w14:alpha w14:val="60000"/>
            </w14:srgbClr>
          </w14:shadow>
        </w:rPr>
        <w:t>20</w:t>
      </w:r>
      <w:r w:rsidR="006740B2">
        <w:rPr>
          <w:b/>
          <w:bCs/>
          <w:sz w:val="24"/>
          <w:szCs w:val="24"/>
          <w14:shadow w14:blurRad="50800" w14:dist="38100" w14:dir="2700000" w14:sx="100000" w14:sy="100000" w14:kx="0" w14:ky="0" w14:algn="tl">
            <w14:srgbClr w14:val="000000">
              <w14:alpha w14:val="60000"/>
            </w14:srgbClr>
          </w14:shadow>
        </w:rPr>
        <w:t>18</w:t>
      </w:r>
      <w:r w:rsidR="00BE2045" w:rsidRPr="004C7355">
        <w:rPr>
          <w:b/>
          <w:bCs/>
          <w:sz w:val="24"/>
          <w:szCs w:val="24"/>
          <w14:shadow w14:blurRad="50800" w14:dist="38100" w14:dir="2700000" w14:sx="100000" w14:sy="100000" w14:kx="0" w14:ky="0" w14:algn="tl">
            <w14:srgbClr w14:val="000000">
              <w14:alpha w14:val="60000"/>
            </w14:srgbClr>
          </w14:shadow>
        </w:rPr>
        <w:t xml:space="preserve"> N° </w:t>
      </w:r>
      <w:r w:rsidR="009C3EB7" w:rsidRPr="004C7355">
        <w:rPr>
          <w:b/>
          <w:bCs/>
          <w:sz w:val="24"/>
          <w:szCs w:val="24"/>
          <w14:shadow w14:blurRad="50800" w14:dist="38100" w14:dir="2700000" w14:sx="100000" w14:sy="100000" w14:kx="0" w14:ky="0" w14:algn="tl">
            <w14:srgbClr w14:val="000000">
              <w14:alpha w14:val="60000"/>
            </w14:srgbClr>
          </w14:shadow>
        </w:rPr>
        <w:t>7</w:t>
      </w:r>
      <w:r w:rsidR="006740B2">
        <w:rPr>
          <w:b/>
          <w:bCs/>
          <w:sz w:val="24"/>
          <w:szCs w:val="24"/>
          <w14:shadow w14:blurRad="50800" w14:dist="38100" w14:dir="2700000" w14:sx="100000" w14:sy="100000" w14:kx="0" w14:ky="0" w14:algn="tl">
            <w14:srgbClr w14:val="000000">
              <w14:alpha w14:val="60000"/>
            </w14:srgbClr>
          </w14:shadow>
        </w:rPr>
        <w:t>2</w:t>
      </w:r>
    </w:p>
    <w:p w:rsidR="00BE2045" w:rsidRDefault="00BE2045" w:rsidP="00104F7D">
      <w:pPr>
        <w:pStyle w:val="Footer"/>
        <w:jc w:val="right"/>
        <w:outlineLvl w:val="0"/>
        <w:rPr>
          <w:b/>
          <w:bCs/>
          <w:i/>
          <w:iCs/>
          <w:sz w:val="18"/>
          <w:szCs w:val="18"/>
          <w:lang w:val="en-US"/>
        </w:rPr>
      </w:pPr>
      <w:r>
        <w:rPr>
          <w:b/>
          <w:bCs/>
          <w:i/>
          <w:iCs/>
          <w:sz w:val="18"/>
          <w:szCs w:val="18"/>
          <w:lang w:val="en-US"/>
        </w:rPr>
        <w:t>This release and other statistical</w:t>
      </w:r>
    </w:p>
    <w:p w:rsidR="00BE2045" w:rsidRDefault="00F652C2">
      <w:pPr>
        <w:pStyle w:val="Footer"/>
        <w:jc w:val="right"/>
        <w:rPr>
          <w:b/>
          <w:bCs/>
          <w:i/>
          <w:iCs/>
          <w:sz w:val="18"/>
          <w:szCs w:val="18"/>
          <w:lang w:val="en-US"/>
        </w:rPr>
      </w:pPr>
      <w:proofErr w:type="gramStart"/>
      <w:r>
        <w:rPr>
          <w:b/>
          <w:bCs/>
          <w:i/>
          <w:iCs/>
          <w:sz w:val="18"/>
          <w:szCs w:val="18"/>
          <w:lang w:val="en-US"/>
        </w:rPr>
        <w:t>releases</w:t>
      </w:r>
      <w:proofErr w:type="gramEnd"/>
      <w:r>
        <w:rPr>
          <w:b/>
          <w:bCs/>
          <w:i/>
          <w:iCs/>
          <w:sz w:val="18"/>
          <w:szCs w:val="18"/>
          <w:lang w:val="en-US"/>
        </w:rPr>
        <w:t xml:space="preserve"> are available on E</w:t>
      </w:r>
      <w:r w:rsidR="00BE2045">
        <w:rPr>
          <w:b/>
          <w:bCs/>
          <w:i/>
          <w:iCs/>
          <w:sz w:val="18"/>
          <w:szCs w:val="18"/>
          <w:lang w:val="en-US"/>
        </w:rPr>
        <w:t>fama’s</w:t>
      </w:r>
    </w:p>
    <w:p w:rsidR="00BE2045" w:rsidRDefault="00BE2045">
      <w:pPr>
        <w:pStyle w:val="Footer"/>
        <w:jc w:val="right"/>
        <w:rPr>
          <w:b/>
          <w:bCs/>
          <w:i/>
          <w:iCs/>
          <w:sz w:val="18"/>
          <w:szCs w:val="18"/>
          <w:lang w:val="en-US"/>
        </w:rPr>
      </w:pPr>
      <w:proofErr w:type="gramStart"/>
      <w:r>
        <w:rPr>
          <w:b/>
          <w:bCs/>
          <w:i/>
          <w:iCs/>
          <w:sz w:val="18"/>
          <w:szCs w:val="18"/>
          <w:lang w:val="en-US"/>
        </w:rPr>
        <w:t>website</w:t>
      </w:r>
      <w:proofErr w:type="gramEnd"/>
      <w:r>
        <w:rPr>
          <w:b/>
          <w:bCs/>
          <w:i/>
          <w:iCs/>
          <w:sz w:val="18"/>
          <w:szCs w:val="18"/>
          <w:lang w:val="en-US"/>
        </w:rPr>
        <w:t xml:space="preserve"> (</w:t>
      </w:r>
      <w:hyperlink r:id="rId10" w:history="1">
        <w:r>
          <w:rPr>
            <w:rStyle w:val="Hyperlink"/>
            <w:b/>
            <w:bCs/>
            <w:i/>
            <w:iCs/>
            <w:sz w:val="18"/>
            <w:szCs w:val="18"/>
          </w:rPr>
          <w:t>www.efama.org</w:t>
        </w:r>
      </w:hyperlink>
      <w:r>
        <w:rPr>
          <w:b/>
          <w:bCs/>
          <w:i/>
          <w:iCs/>
          <w:sz w:val="18"/>
          <w:szCs w:val="18"/>
          <w:lang w:val="en-US"/>
        </w:rPr>
        <w:t>)</w:t>
      </w:r>
    </w:p>
    <w:p w:rsidR="00BE2045" w:rsidRDefault="00BE2045">
      <w:pPr>
        <w:pStyle w:val="Footer"/>
        <w:rPr>
          <w:b/>
          <w:bCs/>
          <w:i/>
          <w:iCs/>
          <w:sz w:val="18"/>
          <w:szCs w:val="18"/>
          <w:lang w:val="en-US"/>
        </w:rPr>
      </w:pPr>
    </w:p>
    <w:p w:rsidR="00BE2045" w:rsidRDefault="00BE2045">
      <w:pPr>
        <w:pStyle w:val="Footer"/>
        <w:jc w:val="center"/>
        <w:rPr>
          <w:b/>
          <w:bCs/>
          <w:sz w:val="18"/>
          <w:szCs w:val="18"/>
          <w:lang w:val="en-US"/>
        </w:rPr>
      </w:pPr>
    </w:p>
    <w:p w:rsidR="00BE2045" w:rsidRDefault="00BE2045">
      <w:pPr>
        <w:pStyle w:val="Footer"/>
        <w:jc w:val="center"/>
        <w:rPr>
          <w:b/>
          <w:bCs/>
          <w:sz w:val="18"/>
          <w:szCs w:val="18"/>
          <w:lang w:val="en-US"/>
        </w:rPr>
      </w:pPr>
    </w:p>
    <w:p w:rsidR="00BE2045" w:rsidRDefault="00BE2045">
      <w:pPr>
        <w:pStyle w:val="Footer"/>
        <w:jc w:val="center"/>
        <w:rPr>
          <w:b/>
          <w:bCs/>
          <w:sz w:val="40"/>
          <w:szCs w:val="18"/>
          <w:lang w:val="en-US"/>
        </w:rPr>
      </w:pPr>
    </w:p>
    <w:p w:rsidR="00BE2045" w:rsidRDefault="00BE2045" w:rsidP="00340C4D">
      <w:pPr>
        <w:pStyle w:val="Footer"/>
        <w:rPr>
          <w:b/>
          <w:bCs/>
          <w:sz w:val="40"/>
          <w:szCs w:val="18"/>
          <w:lang w:val="en-US"/>
        </w:rPr>
      </w:pPr>
    </w:p>
    <w:p w:rsidR="00340C4D" w:rsidRDefault="00340C4D" w:rsidP="00340C4D">
      <w:pPr>
        <w:pStyle w:val="Footer"/>
        <w:rPr>
          <w:b/>
          <w:bCs/>
          <w:sz w:val="18"/>
          <w:szCs w:val="18"/>
          <w:lang w:val="en-US"/>
        </w:rPr>
      </w:pPr>
    </w:p>
    <w:p w:rsidR="00495840" w:rsidRDefault="00495840">
      <w:pPr>
        <w:pStyle w:val="Footer"/>
        <w:jc w:val="center"/>
        <w:rPr>
          <w:b/>
          <w:bCs/>
          <w:sz w:val="18"/>
          <w:szCs w:val="18"/>
          <w:lang w:val="en-US"/>
        </w:rPr>
      </w:pPr>
    </w:p>
    <w:p w:rsidR="00BE2045" w:rsidRDefault="00BE2045">
      <w:pPr>
        <w:pStyle w:val="Footer"/>
        <w:jc w:val="center"/>
        <w:rPr>
          <w:b/>
          <w:bCs/>
          <w:sz w:val="18"/>
          <w:szCs w:val="18"/>
          <w:lang w:val="en-US"/>
        </w:rPr>
      </w:pPr>
    </w:p>
    <w:p w:rsidR="00E31FD0" w:rsidRDefault="00E31FD0">
      <w:pPr>
        <w:pStyle w:val="Footer"/>
        <w:jc w:val="center"/>
        <w:rPr>
          <w:b/>
          <w:bCs/>
          <w:sz w:val="18"/>
          <w:szCs w:val="18"/>
          <w:lang w:val="en-US"/>
        </w:rPr>
      </w:pPr>
    </w:p>
    <w:p w:rsidR="00887A60" w:rsidRDefault="00887A60">
      <w:pPr>
        <w:pStyle w:val="Footer"/>
        <w:jc w:val="center"/>
        <w:rPr>
          <w:b/>
          <w:bCs/>
          <w:sz w:val="18"/>
          <w:szCs w:val="18"/>
          <w:lang w:val="en-US"/>
        </w:rPr>
      </w:pPr>
    </w:p>
    <w:p w:rsidR="00BE2045" w:rsidRDefault="00BE2045">
      <w:pPr>
        <w:pStyle w:val="Footer"/>
        <w:jc w:val="center"/>
        <w:rPr>
          <w:b/>
          <w:bCs/>
          <w:sz w:val="18"/>
          <w:szCs w:val="18"/>
          <w:lang w:val="en-US"/>
        </w:rPr>
      </w:pPr>
    </w:p>
    <w:p w:rsidR="00BE2045" w:rsidRDefault="00BE2045" w:rsidP="00104F7D">
      <w:pPr>
        <w:pStyle w:val="Footer"/>
        <w:jc w:val="center"/>
        <w:outlineLvl w:val="0"/>
        <w:rPr>
          <w:b/>
          <w:bCs/>
          <w:i/>
          <w:iCs/>
          <w:sz w:val="40"/>
          <w:szCs w:val="40"/>
          <w:lang w:val="en-US"/>
        </w:rPr>
      </w:pPr>
      <w:r>
        <w:rPr>
          <w:b/>
          <w:bCs/>
          <w:i/>
          <w:iCs/>
          <w:sz w:val="40"/>
          <w:szCs w:val="40"/>
          <w:lang w:val="en-US"/>
        </w:rPr>
        <w:t>Trends in the European Investment Fund Industry</w:t>
      </w:r>
    </w:p>
    <w:p w:rsidR="00BE2045" w:rsidRDefault="00BE2045">
      <w:pPr>
        <w:pStyle w:val="Footer"/>
        <w:jc w:val="center"/>
        <w:rPr>
          <w:b/>
          <w:bCs/>
          <w:i/>
          <w:iCs/>
          <w:sz w:val="40"/>
          <w:szCs w:val="40"/>
          <w:lang w:val="en-US"/>
        </w:rPr>
      </w:pPr>
    </w:p>
    <w:p w:rsidR="008F2549" w:rsidRDefault="002C628C" w:rsidP="008F2549">
      <w:pPr>
        <w:pStyle w:val="Footer"/>
        <w:jc w:val="center"/>
        <w:rPr>
          <w:b/>
          <w:bCs/>
          <w:i/>
          <w:iCs/>
          <w:sz w:val="40"/>
          <w:szCs w:val="40"/>
          <w:lang w:val="en-US"/>
        </w:rPr>
      </w:pPr>
      <w:proofErr w:type="gramStart"/>
      <w:r>
        <w:rPr>
          <w:b/>
          <w:bCs/>
          <w:i/>
          <w:iCs/>
          <w:sz w:val="40"/>
          <w:szCs w:val="40"/>
          <w:lang w:val="en-US"/>
        </w:rPr>
        <w:t>in</w:t>
      </w:r>
      <w:proofErr w:type="gramEnd"/>
      <w:r w:rsidR="000D2165">
        <w:rPr>
          <w:b/>
          <w:bCs/>
          <w:i/>
          <w:iCs/>
          <w:sz w:val="40"/>
          <w:szCs w:val="40"/>
          <w:lang w:val="en-US"/>
        </w:rPr>
        <w:t xml:space="preserve"> the </w:t>
      </w:r>
      <w:r w:rsidR="00E04A4F">
        <w:rPr>
          <w:b/>
          <w:bCs/>
          <w:i/>
          <w:iCs/>
          <w:sz w:val="40"/>
          <w:szCs w:val="40"/>
          <w:lang w:val="en-US"/>
        </w:rPr>
        <w:t>Fourth</w:t>
      </w:r>
      <w:r w:rsidR="004465FC">
        <w:rPr>
          <w:b/>
          <w:bCs/>
          <w:i/>
          <w:iCs/>
          <w:sz w:val="40"/>
          <w:szCs w:val="40"/>
          <w:lang w:val="en-US"/>
        </w:rPr>
        <w:t xml:space="preserve"> Quarter of 2017</w:t>
      </w:r>
    </w:p>
    <w:p w:rsidR="000D2165" w:rsidRDefault="000D2165" w:rsidP="000D2165">
      <w:pPr>
        <w:pStyle w:val="Footer"/>
        <w:jc w:val="center"/>
        <w:rPr>
          <w:b/>
          <w:bCs/>
          <w:i/>
          <w:iCs/>
          <w:sz w:val="40"/>
          <w:szCs w:val="40"/>
          <w:lang w:val="en-US"/>
        </w:rPr>
      </w:pPr>
    </w:p>
    <w:p w:rsidR="000D2165" w:rsidRDefault="000D2165" w:rsidP="000D2165">
      <w:pPr>
        <w:pStyle w:val="Footer"/>
        <w:jc w:val="center"/>
        <w:rPr>
          <w:b/>
          <w:bCs/>
          <w:i/>
          <w:iCs/>
          <w:sz w:val="40"/>
          <w:szCs w:val="40"/>
          <w:lang w:val="en-US"/>
        </w:rPr>
      </w:pPr>
      <w:r>
        <w:rPr>
          <w:b/>
          <w:bCs/>
          <w:i/>
          <w:iCs/>
          <w:sz w:val="40"/>
          <w:szCs w:val="40"/>
          <w:lang w:val="en-US"/>
        </w:rPr>
        <w:t>&amp;</w:t>
      </w:r>
    </w:p>
    <w:p w:rsidR="000D2165" w:rsidRDefault="000D2165" w:rsidP="000D2165">
      <w:pPr>
        <w:pStyle w:val="Footer"/>
        <w:jc w:val="center"/>
        <w:rPr>
          <w:b/>
          <w:bCs/>
          <w:i/>
          <w:iCs/>
          <w:sz w:val="40"/>
          <w:szCs w:val="40"/>
          <w:lang w:val="en-US"/>
        </w:rPr>
      </w:pPr>
    </w:p>
    <w:p w:rsidR="00767566" w:rsidRDefault="000D2165" w:rsidP="008F2549">
      <w:pPr>
        <w:pStyle w:val="Footer"/>
        <w:jc w:val="center"/>
        <w:rPr>
          <w:b/>
          <w:bCs/>
          <w:i/>
          <w:iCs/>
          <w:sz w:val="40"/>
          <w:szCs w:val="40"/>
          <w:lang w:val="en-US"/>
        </w:rPr>
      </w:pPr>
      <w:r>
        <w:rPr>
          <w:b/>
          <w:bCs/>
          <w:i/>
          <w:iCs/>
          <w:sz w:val="40"/>
          <w:szCs w:val="40"/>
          <w:lang w:val="en-US"/>
        </w:rPr>
        <w:t>Results for the Full Year of 2017</w:t>
      </w:r>
    </w:p>
    <w:p w:rsidR="00AC73EA" w:rsidRDefault="00AC73EA" w:rsidP="008F2549">
      <w:pPr>
        <w:pStyle w:val="Footer"/>
        <w:jc w:val="center"/>
        <w:rPr>
          <w:b/>
          <w:bCs/>
          <w:i/>
          <w:iCs/>
          <w:sz w:val="40"/>
          <w:szCs w:val="40"/>
          <w:lang w:val="en-US"/>
        </w:rPr>
      </w:pPr>
    </w:p>
    <w:p w:rsidR="00C31FBE" w:rsidRDefault="00C31FBE" w:rsidP="008F2549">
      <w:pPr>
        <w:pStyle w:val="Footer"/>
        <w:jc w:val="center"/>
        <w:rPr>
          <w:b/>
          <w:bCs/>
          <w:i/>
          <w:iCs/>
          <w:sz w:val="40"/>
          <w:szCs w:val="40"/>
          <w:lang w:val="en-US"/>
        </w:rPr>
      </w:pPr>
    </w:p>
    <w:p w:rsidR="00DA0EDA" w:rsidRDefault="00DA0EDA" w:rsidP="008F2549">
      <w:pPr>
        <w:pStyle w:val="Footer"/>
        <w:jc w:val="center"/>
        <w:rPr>
          <w:b/>
          <w:bCs/>
          <w:i/>
          <w:iCs/>
          <w:sz w:val="40"/>
          <w:szCs w:val="40"/>
          <w:lang w:val="en-US"/>
        </w:rPr>
      </w:pPr>
    </w:p>
    <w:p w:rsidR="005A704F" w:rsidRDefault="005A704F" w:rsidP="00473B0A">
      <w:pPr>
        <w:pStyle w:val="Footer"/>
        <w:rPr>
          <w:b/>
          <w:bCs/>
          <w:i/>
          <w:iCs/>
          <w:sz w:val="40"/>
          <w:szCs w:val="40"/>
          <w:lang w:val="en-US"/>
        </w:rPr>
      </w:pPr>
    </w:p>
    <w:p w:rsidR="008516E2" w:rsidRDefault="008516E2">
      <w:pPr>
        <w:pStyle w:val="Footer"/>
        <w:jc w:val="center"/>
        <w:rPr>
          <w:b/>
          <w:bCs/>
          <w:i/>
          <w:iCs/>
          <w:sz w:val="40"/>
          <w:szCs w:val="40"/>
          <w:lang w:val="en-US"/>
        </w:rPr>
      </w:pPr>
    </w:p>
    <w:p w:rsidR="00BA0A3A" w:rsidRDefault="00BA0A3A">
      <w:pPr>
        <w:pStyle w:val="Footer"/>
        <w:jc w:val="center"/>
        <w:rPr>
          <w:b/>
          <w:bCs/>
          <w:i/>
          <w:iCs/>
          <w:sz w:val="40"/>
          <w:szCs w:val="40"/>
          <w:lang w:val="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BE2045" w:rsidRPr="00B14C54">
        <w:trPr>
          <w:trHeight w:val="1617"/>
        </w:trPr>
        <w:tc>
          <w:tcPr>
            <w:tcW w:w="9923" w:type="dxa"/>
            <w:tcBorders>
              <w:top w:val="single" w:sz="4" w:space="0" w:color="auto"/>
              <w:left w:val="single" w:sz="4" w:space="0" w:color="auto"/>
              <w:bottom w:val="single" w:sz="4" w:space="0" w:color="auto"/>
              <w:right w:val="single" w:sz="4" w:space="0" w:color="auto"/>
            </w:tcBorders>
          </w:tcPr>
          <w:p w:rsidR="00BE2045" w:rsidRDefault="00BE2045">
            <w:pPr>
              <w:pStyle w:val="Footer"/>
              <w:jc w:val="center"/>
              <w:rPr>
                <w:b/>
                <w:bCs/>
                <w:sz w:val="16"/>
                <w:szCs w:val="16"/>
                <w:lang w:val="en-US"/>
              </w:rPr>
            </w:pPr>
          </w:p>
          <w:p w:rsidR="00BE2045" w:rsidRDefault="00BE2045">
            <w:pPr>
              <w:pStyle w:val="Footer"/>
              <w:jc w:val="center"/>
              <w:rPr>
                <w:b/>
                <w:bCs/>
                <w:sz w:val="18"/>
                <w:szCs w:val="16"/>
                <w:lang w:val="en-US"/>
              </w:rPr>
            </w:pPr>
            <w:r>
              <w:rPr>
                <w:b/>
                <w:bCs/>
                <w:sz w:val="18"/>
                <w:szCs w:val="16"/>
                <w:lang w:val="en-US"/>
              </w:rPr>
              <w:t xml:space="preserve">This report was prepared by </w:t>
            </w:r>
            <w:r w:rsidR="008F5746">
              <w:rPr>
                <w:b/>
                <w:bCs/>
                <w:sz w:val="18"/>
                <w:szCs w:val="16"/>
                <w:lang w:val="en-US"/>
              </w:rPr>
              <w:t>Alex Carroll</w:t>
            </w:r>
            <w:r w:rsidR="000B2912">
              <w:rPr>
                <w:b/>
                <w:bCs/>
                <w:sz w:val="18"/>
                <w:szCs w:val="16"/>
                <w:lang w:val="en-US"/>
              </w:rPr>
              <w:t xml:space="preserve">, Thomas Tilley </w:t>
            </w:r>
            <w:r w:rsidR="008F5746">
              <w:rPr>
                <w:b/>
                <w:bCs/>
                <w:sz w:val="18"/>
                <w:szCs w:val="16"/>
                <w:lang w:val="en-US"/>
              </w:rPr>
              <w:t>and</w:t>
            </w:r>
            <w:r w:rsidR="004465FC">
              <w:rPr>
                <w:b/>
                <w:bCs/>
                <w:sz w:val="18"/>
                <w:szCs w:val="16"/>
                <w:lang w:val="en-US"/>
              </w:rPr>
              <w:t xml:space="preserve"> Ber</w:t>
            </w:r>
            <w:r w:rsidR="008F5746">
              <w:rPr>
                <w:b/>
                <w:bCs/>
                <w:sz w:val="18"/>
                <w:szCs w:val="16"/>
                <w:lang w:val="en-US"/>
              </w:rPr>
              <w:t>nard Delbecque</w:t>
            </w:r>
          </w:p>
          <w:p w:rsidR="00BE2045" w:rsidRDefault="004C7355">
            <w:pPr>
              <w:pStyle w:val="Footer"/>
              <w:jc w:val="center"/>
              <w:rPr>
                <w:b/>
                <w:bCs/>
                <w:sz w:val="16"/>
                <w:szCs w:val="16"/>
                <w:lang w:val="en-US"/>
              </w:rPr>
            </w:pPr>
            <w:r>
              <w:rPr>
                <w:b/>
                <w:bCs/>
                <w:noProof/>
                <w:szCs w:val="16"/>
                <w:lang w:val="en-US"/>
              </w:rPr>
              <mc:AlternateContent>
                <mc:Choice Requires="wps">
                  <w:drawing>
                    <wp:anchor distT="0" distB="0" distL="114300" distR="114300" simplePos="0" relativeHeight="251642880" behindDoc="0" locked="0" layoutInCell="1" allowOverlap="1">
                      <wp:simplePos x="0" y="0"/>
                      <wp:positionH relativeFrom="column">
                        <wp:posOffset>409575</wp:posOffset>
                      </wp:positionH>
                      <wp:positionV relativeFrom="paragraph">
                        <wp:posOffset>47625</wp:posOffset>
                      </wp:positionV>
                      <wp:extent cx="5038725" cy="0"/>
                      <wp:effectExtent l="0" t="0" r="0" b="0"/>
                      <wp:wrapSquare wrapText="bothSides"/>
                      <wp:docPr id="1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BA19E" id="Line 43"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3.75pt" to="42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atGAIAADQ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">
                      <w10:wrap type="square"/>
                    </v:line>
                  </w:pict>
                </mc:Fallback>
              </mc:AlternateContent>
            </w:r>
          </w:p>
          <w:p w:rsidR="00BE2045" w:rsidRDefault="00BE2045">
            <w:pPr>
              <w:pStyle w:val="Footer"/>
              <w:jc w:val="center"/>
              <w:rPr>
                <w:b/>
                <w:bCs/>
                <w:sz w:val="18"/>
                <w:szCs w:val="18"/>
                <w:lang w:val="en-US"/>
              </w:rPr>
            </w:pPr>
            <w:r>
              <w:rPr>
                <w:b/>
                <w:bCs/>
                <w:sz w:val="18"/>
                <w:szCs w:val="18"/>
                <w:lang w:val="en-US"/>
              </w:rPr>
              <w:t>EFAMA</w:t>
            </w:r>
          </w:p>
          <w:p w:rsidR="00BE2045" w:rsidRDefault="00BE2045">
            <w:pPr>
              <w:pStyle w:val="Footer"/>
              <w:jc w:val="center"/>
              <w:rPr>
                <w:b/>
                <w:bCs/>
                <w:sz w:val="18"/>
                <w:szCs w:val="16"/>
              </w:rPr>
            </w:pPr>
            <w:r>
              <w:rPr>
                <w:b/>
                <w:bCs/>
                <w:sz w:val="18"/>
                <w:szCs w:val="16"/>
              </w:rPr>
              <w:t>The European Fund and Asset Management Association</w:t>
            </w:r>
          </w:p>
          <w:p w:rsidR="00BE2045" w:rsidRDefault="00BE2045">
            <w:pPr>
              <w:pStyle w:val="Footer"/>
              <w:jc w:val="both"/>
              <w:rPr>
                <w:b/>
                <w:bCs/>
                <w:sz w:val="18"/>
                <w:szCs w:val="16"/>
                <w:lang w:val="en-US"/>
              </w:rPr>
            </w:pPr>
          </w:p>
          <w:p w:rsidR="00BE2045" w:rsidRPr="004C7355" w:rsidRDefault="00495840">
            <w:pPr>
              <w:pStyle w:val="Footer"/>
              <w:spacing w:line="360" w:lineRule="auto"/>
              <w:jc w:val="center"/>
              <w:rPr>
                <w:b/>
                <w:bCs/>
                <w:sz w:val="18"/>
                <w:szCs w:val="24"/>
                <w:lang w:val="fr-BE"/>
                <w14:shadow w14:blurRad="50800" w14:dist="38100" w14:dir="2700000" w14:sx="100000" w14:sy="100000" w14:kx="0" w14:ky="0" w14:algn="tl">
                  <w14:srgbClr w14:val="000000">
                    <w14:alpha w14:val="60000"/>
                  </w14:srgbClr>
                </w14:shadow>
              </w:rPr>
            </w:pPr>
            <w:r>
              <w:rPr>
                <w:b/>
                <w:bCs/>
                <w:sz w:val="18"/>
                <w:szCs w:val="16"/>
                <w:lang w:val="fr-BE"/>
              </w:rPr>
              <w:t>Rue Montoyer 47 - B-100</w:t>
            </w:r>
            <w:r w:rsidR="00BE2045">
              <w:rPr>
                <w:b/>
                <w:bCs/>
                <w:sz w:val="18"/>
                <w:szCs w:val="16"/>
                <w:lang w:val="fr-BE"/>
              </w:rPr>
              <w:t>0 BRUXELLES - Tel. 32-2-513.39.69 Fax: 32-2-513.26.43 - e-mail: info@efama.org</w:t>
            </w:r>
          </w:p>
        </w:tc>
      </w:tr>
    </w:tbl>
    <w:p w:rsidR="00F60EEC" w:rsidRPr="00FF66E2" w:rsidRDefault="00F60EEC">
      <w:pPr>
        <w:pStyle w:val="Footer"/>
        <w:spacing w:line="360" w:lineRule="auto"/>
        <w:rPr>
          <w:lang w:val="fr-BE"/>
        </w:rPr>
      </w:pPr>
    </w:p>
    <w:p w:rsidR="00A155D2" w:rsidRPr="00450B0B" w:rsidRDefault="00AC73EA" w:rsidP="001142A5">
      <w:pPr>
        <w:pStyle w:val="Footer"/>
        <w:jc w:val="center"/>
        <w:outlineLvl w:val="0"/>
        <w:rPr>
          <w:lang w:val="fr-BE"/>
        </w:rPr>
      </w:pPr>
      <w:r w:rsidRPr="00450B0B">
        <w:rPr>
          <w:b/>
          <w:bCs/>
          <w:sz w:val="28"/>
          <w:szCs w:val="28"/>
          <w:lang w:val="fr-BE"/>
          <w14:shadow w14:blurRad="50800" w14:dist="38100" w14:dir="2700000" w14:sx="100000" w14:sy="100000" w14:kx="0" w14:ky="0" w14:algn="tl">
            <w14:srgbClr w14:val="000000">
              <w14:alpha w14:val="60000"/>
            </w14:srgbClr>
          </w14:shadow>
        </w:rPr>
        <w:br w:type="page"/>
      </w:r>
      <w:r w:rsidR="001142A5" w:rsidRPr="00450B0B">
        <w:rPr>
          <w:lang w:val="fr-BE"/>
        </w:rPr>
        <w:lastRenderedPageBreak/>
        <w:t xml:space="preserve"> </w:t>
      </w:r>
    </w:p>
    <w:p w:rsidR="00AD420E" w:rsidRPr="008C2583" w:rsidRDefault="00AD420E" w:rsidP="00AD420E">
      <w:pPr>
        <w:pStyle w:val="Footer"/>
        <w:ind w:left="4320" w:hanging="4320"/>
        <w:jc w:val="center"/>
        <w:outlineLvl w:val="0"/>
        <w:rPr>
          <w:b/>
          <w:bCs/>
          <w:sz w:val="28"/>
          <w:szCs w:val="28"/>
          <w:lang w:val="en-US"/>
          <w14:shadow w14:blurRad="50800" w14:dist="38100" w14:dir="2700000" w14:sx="100000" w14:sy="100000" w14:kx="0" w14:ky="0" w14:algn="tl">
            <w14:srgbClr w14:val="000000">
              <w14:alpha w14:val="60000"/>
            </w14:srgbClr>
          </w14:shadow>
        </w:rPr>
      </w:pPr>
      <w:r>
        <w:rPr>
          <w:b/>
          <w:bCs/>
          <w:sz w:val="28"/>
          <w:szCs w:val="28"/>
          <w:lang w:val="en-US"/>
          <w14:shadow w14:blurRad="50800" w14:dist="38100" w14:dir="2700000" w14:sx="100000" w14:sy="100000" w14:kx="0" w14:ky="0" w14:algn="tl">
            <w14:srgbClr w14:val="000000">
              <w14:alpha w14:val="60000"/>
            </w14:srgbClr>
          </w14:shadow>
        </w:rPr>
        <w:t>H</w:t>
      </w:r>
      <w:r w:rsidRPr="008C2583">
        <w:rPr>
          <w:b/>
          <w:bCs/>
          <w:sz w:val="28"/>
          <w:szCs w:val="28"/>
          <w:lang w:val="en-US"/>
          <w14:shadow w14:blurRad="50800" w14:dist="38100" w14:dir="2700000" w14:sx="100000" w14:sy="100000" w14:kx="0" w14:ky="0" w14:algn="tl">
            <w14:srgbClr w14:val="000000">
              <w14:alpha w14:val="60000"/>
            </w14:srgbClr>
          </w14:shadow>
        </w:rPr>
        <w:t>ighlights</w:t>
      </w:r>
    </w:p>
    <w:p w:rsidR="00AD420E" w:rsidRDefault="00AD420E" w:rsidP="00AD420E">
      <w:pPr>
        <w:spacing w:line="300" w:lineRule="exact"/>
        <w:jc w:val="both"/>
        <w:rPr>
          <w:b/>
          <w:bCs/>
          <w:color w:val="0000FF"/>
          <w:sz w:val="22"/>
          <w:szCs w:val="22"/>
        </w:rPr>
      </w:pPr>
    </w:p>
    <w:p w:rsidR="00AD420E" w:rsidRPr="00EE740B" w:rsidRDefault="00224AA3" w:rsidP="00AD420E">
      <w:pPr>
        <w:spacing w:line="260" w:lineRule="exact"/>
        <w:jc w:val="both"/>
        <w:rPr>
          <w:b/>
          <w:bCs/>
          <w:color w:val="0000FF"/>
          <w:sz w:val="22"/>
          <w:szCs w:val="22"/>
        </w:rPr>
      </w:pPr>
      <w:r w:rsidRPr="00224AA3">
        <w:rPr>
          <w:b/>
          <w:bCs/>
          <w:color w:val="0000FF"/>
          <w:sz w:val="22"/>
          <w:szCs w:val="22"/>
        </w:rPr>
        <w:t>2017 was an exceptional year for the European investment fund industry, with net assets of</w:t>
      </w:r>
      <w:r>
        <w:rPr>
          <w:b/>
          <w:bCs/>
          <w:color w:val="0000FF"/>
          <w:sz w:val="22"/>
          <w:szCs w:val="22"/>
        </w:rPr>
        <w:t xml:space="preserve"> </w:t>
      </w:r>
      <w:r w:rsidRPr="00224AA3">
        <w:rPr>
          <w:b/>
          <w:bCs/>
          <w:color w:val="0000FF"/>
          <w:sz w:val="22"/>
          <w:szCs w:val="22"/>
        </w:rPr>
        <w:t>UCITS and AIF surpassing the EUR 15 trillion mark</w:t>
      </w:r>
      <w:r w:rsidR="00595DBB">
        <w:rPr>
          <w:b/>
          <w:bCs/>
          <w:color w:val="0000FF"/>
          <w:sz w:val="22"/>
          <w:szCs w:val="22"/>
        </w:rPr>
        <w:t>. Net sales of UCITS and AIF reached their highest level yet (EUR 949 billion</w:t>
      </w:r>
      <w:r w:rsidR="004F166A">
        <w:rPr>
          <w:b/>
          <w:bCs/>
          <w:color w:val="0000FF"/>
          <w:sz w:val="22"/>
          <w:szCs w:val="22"/>
        </w:rPr>
        <w:t>)</w:t>
      </w:r>
      <w:r w:rsidR="00595DBB">
        <w:rPr>
          <w:b/>
          <w:bCs/>
          <w:color w:val="0000FF"/>
          <w:sz w:val="22"/>
          <w:szCs w:val="22"/>
        </w:rPr>
        <w:t>, bre</w:t>
      </w:r>
      <w:r w:rsidRPr="00224AA3">
        <w:rPr>
          <w:b/>
          <w:bCs/>
          <w:color w:val="0000FF"/>
          <w:sz w:val="22"/>
          <w:szCs w:val="22"/>
        </w:rPr>
        <w:t>aking the prior record set</w:t>
      </w:r>
      <w:r>
        <w:rPr>
          <w:b/>
          <w:bCs/>
          <w:color w:val="0000FF"/>
          <w:sz w:val="22"/>
          <w:szCs w:val="22"/>
        </w:rPr>
        <w:t xml:space="preserve"> </w:t>
      </w:r>
      <w:r w:rsidR="00595DBB">
        <w:rPr>
          <w:b/>
          <w:bCs/>
          <w:color w:val="0000FF"/>
          <w:sz w:val="22"/>
          <w:szCs w:val="22"/>
        </w:rPr>
        <w:t>in 2015 (EUR 756 billion).</w:t>
      </w:r>
    </w:p>
    <w:p w:rsidR="00AD420E" w:rsidRPr="00A02572" w:rsidRDefault="00AD420E" w:rsidP="00AD420E">
      <w:pPr>
        <w:autoSpaceDE/>
        <w:autoSpaceDN/>
        <w:spacing w:line="260" w:lineRule="exact"/>
        <w:ind w:left="720"/>
        <w:contextualSpacing/>
        <w:jc w:val="both"/>
        <w:rPr>
          <w:rFonts w:eastAsia="Calibri"/>
          <w:b/>
          <w:sz w:val="22"/>
          <w:szCs w:val="22"/>
        </w:rPr>
      </w:pPr>
    </w:p>
    <w:p w:rsidR="00595DBB" w:rsidRPr="00B14C54" w:rsidRDefault="00595DBB" w:rsidP="008473F3">
      <w:pPr>
        <w:jc w:val="both"/>
        <w:rPr>
          <w:sz w:val="22"/>
          <w:szCs w:val="22"/>
        </w:rPr>
      </w:pPr>
      <w:r w:rsidRPr="00B14C54">
        <w:rPr>
          <w:sz w:val="22"/>
          <w:szCs w:val="22"/>
        </w:rPr>
        <w:t xml:space="preserve">The </w:t>
      </w:r>
      <w:r w:rsidRPr="00B14C54">
        <w:rPr>
          <w:sz w:val="22"/>
          <w:szCs w:val="22"/>
          <w:u w:val="single"/>
        </w:rPr>
        <w:t>main developments in 2017</w:t>
      </w:r>
      <w:r w:rsidRPr="00B14C54">
        <w:rPr>
          <w:sz w:val="22"/>
          <w:szCs w:val="22"/>
        </w:rPr>
        <w:t xml:space="preserve"> can be summarized as follows:</w:t>
      </w:r>
    </w:p>
    <w:p w:rsidR="00595DBB" w:rsidRPr="00B14C54" w:rsidRDefault="00595DBB" w:rsidP="008473F3">
      <w:pPr>
        <w:jc w:val="both"/>
        <w:rPr>
          <w:sz w:val="22"/>
          <w:szCs w:val="22"/>
        </w:rPr>
      </w:pPr>
    </w:p>
    <w:p w:rsidR="008473F3" w:rsidRPr="00B14C54" w:rsidRDefault="00595DBB" w:rsidP="0052631D">
      <w:pPr>
        <w:pStyle w:val="ListParagraph"/>
        <w:numPr>
          <w:ilvl w:val="0"/>
          <w:numId w:val="43"/>
        </w:numPr>
        <w:spacing w:after="0" w:line="240" w:lineRule="auto"/>
        <w:contextualSpacing/>
        <w:jc w:val="both"/>
        <w:rPr>
          <w:rFonts w:ascii="Times New Roman" w:hAnsi="Times New Roman"/>
          <w:b/>
        </w:rPr>
      </w:pPr>
      <w:r w:rsidRPr="00B14C54">
        <w:rPr>
          <w:rFonts w:ascii="Times New Roman" w:hAnsi="Times New Roman"/>
          <w:b/>
        </w:rPr>
        <w:t>Net sales of UCITS and AIF reached EUR 949 billion in 2017 (</w:t>
      </w:r>
      <w:r w:rsidR="002039B1" w:rsidRPr="00B14C54">
        <w:rPr>
          <w:rFonts w:ascii="Times New Roman" w:hAnsi="Times New Roman"/>
          <w:b/>
        </w:rPr>
        <w:t>EUR 461</w:t>
      </w:r>
      <w:r w:rsidRPr="00B14C54">
        <w:rPr>
          <w:rFonts w:ascii="Times New Roman" w:hAnsi="Times New Roman"/>
          <w:b/>
        </w:rPr>
        <w:t xml:space="preserve"> billion in 2016).</w:t>
      </w:r>
    </w:p>
    <w:p w:rsidR="008473F3" w:rsidRPr="00B14C54" w:rsidRDefault="008473F3" w:rsidP="0052631D">
      <w:pPr>
        <w:pStyle w:val="ListParagraph"/>
        <w:spacing w:after="0" w:line="240" w:lineRule="auto"/>
        <w:ind w:left="1068"/>
        <w:contextualSpacing/>
        <w:jc w:val="both"/>
        <w:rPr>
          <w:rFonts w:ascii="Times New Roman" w:hAnsi="Times New Roman"/>
          <w:b/>
        </w:rPr>
      </w:pPr>
    </w:p>
    <w:p w:rsidR="008473F3" w:rsidRPr="00B14C54" w:rsidRDefault="00595DBB" w:rsidP="0052631D">
      <w:pPr>
        <w:pStyle w:val="ListParagraph"/>
        <w:numPr>
          <w:ilvl w:val="0"/>
          <w:numId w:val="43"/>
        </w:numPr>
        <w:spacing w:after="0" w:line="240" w:lineRule="auto"/>
        <w:contextualSpacing/>
        <w:jc w:val="both"/>
        <w:rPr>
          <w:rFonts w:ascii="Times New Roman" w:hAnsi="Times New Roman"/>
          <w:b/>
        </w:rPr>
      </w:pPr>
      <w:r w:rsidRPr="00B14C54">
        <w:rPr>
          <w:rFonts w:ascii="Times New Roman" w:hAnsi="Times New Roman"/>
          <w:b/>
        </w:rPr>
        <w:t>UCITS net sales amounted to EUR 738</w:t>
      </w:r>
      <w:r w:rsidR="003953DA" w:rsidRPr="00B14C54">
        <w:rPr>
          <w:rFonts w:ascii="Times New Roman" w:hAnsi="Times New Roman"/>
          <w:b/>
        </w:rPr>
        <w:t xml:space="preserve"> billion (EUR 270</w:t>
      </w:r>
      <w:r w:rsidRPr="00B14C54">
        <w:rPr>
          <w:rFonts w:ascii="Times New Roman" w:hAnsi="Times New Roman"/>
          <w:b/>
        </w:rPr>
        <w:t xml:space="preserve"> billion in 2016).</w:t>
      </w:r>
    </w:p>
    <w:p w:rsidR="008473F3" w:rsidRPr="00B14C54" w:rsidRDefault="008473F3" w:rsidP="0052631D">
      <w:pPr>
        <w:contextualSpacing/>
        <w:jc w:val="both"/>
        <w:rPr>
          <w:b/>
          <w:sz w:val="22"/>
          <w:szCs w:val="22"/>
        </w:rPr>
      </w:pPr>
    </w:p>
    <w:p w:rsidR="008473F3" w:rsidRPr="00B14C54" w:rsidRDefault="00595DBB" w:rsidP="0052631D">
      <w:pPr>
        <w:pStyle w:val="ListParagraph"/>
        <w:numPr>
          <w:ilvl w:val="0"/>
          <w:numId w:val="43"/>
        </w:numPr>
        <w:spacing w:after="0" w:line="240" w:lineRule="auto"/>
        <w:ind w:left="1428"/>
        <w:contextualSpacing/>
        <w:jc w:val="both"/>
        <w:rPr>
          <w:rFonts w:ascii="Times New Roman" w:hAnsi="Times New Roman"/>
          <w:b/>
        </w:rPr>
      </w:pPr>
      <w:r w:rsidRPr="00B14C54">
        <w:rPr>
          <w:rFonts w:ascii="Times New Roman" w:hAnsi="Times New Roman"/>
          <w:b/>
        </w:rPr>
        <w:t xml:space="preserve">Long-term UCITS net sales totaled EUR 670 billion (EUR </w:t>
      </w:r>
      <w:r w:rsidR="002039B1" w:rsidRPr="00B14C54">
        <w:rPr>
          <w:rFonts w:ascii="Times New Roman" w:hAnsi="Times New Roman"/>
          <w:b/>
        </w:rPr>
        <w:t>159</w:t>
      </w:r>
      <w:r w:rsidRPr="00B14C54">
        <w:rPr>
          <w:rFonts w:ascii="Times New Roman" w:hAnsi="Times New Roman"/>
          <w:b/>
        </w:rPr>
        <w:t xml:space="preserve"> billion in 2016).</w:t>
      </w:r>
    </w:p>
    <w:p w:rsidR="008473F3" w:rsidRPr="00B14C54" w:rsidRDefault="008473F3" w:rsidP="0052631D">
      <w:pPr>
        <w:pStyle w:val="ListParagraph"/>
        <w:numPr>
          <w:ilvl w:val="1"/>
          <w:numId w:val="43"/>
        </w:numPr>
        <w:spacing w:after="0" w:line="240" w:lineRule="auto"/>
        <w:ind w:left="2148"/>
        <w:contextualSpacing/>
        <w:jc w:val="both"/>
        <w:rPr>
          <w:rFonts w:ascii="Times New Roman" w:hAnsi="Times New Roman"/>
        </w:rPr>
      </w:pPr>
      <w:r w:rsidRPr="00B14C54">
        <w:rPr>
          <w:rFonts w:ascii="Times New Roman" w:hAnsi="Times New Roman"/>
        </w:rPr>
        <w:t>Equity funds enjoyed</w:t>
      </w:r>
      <w:r w:rsidR="00595DBB" w:rsidRPr="00B14C54">
        <w:rPr>
          <w:rFonts w:ascii="Times New Roman" w:hAnsi="Times New Roman"/>
        </w:rPr>
        <w:t xml:space="preserve"> net inflows of EUR </w:t>
      </w:r>
      <w:r w:rsidR="001D5279" w:rsidRPr="00B14C54">
        <w:rPr>
          <w:rFonts w:ascii="Times New Roman" w:hAnsi="Times New Roman"/>
        </w:rPr>
        <w:t>159</w:t>
      </w:r>
      <w:r w:rsidR="00595DBB" w:rsidRPr="00B14C54">
        <w:rPr>
          <w:rFonts w:ascii="Times New Roman" w:hAnsi="Times New Roman"/>
        </w:rPr>
        <w:t xml:space="preserve"> billion (co</w:t>
      </w:r>
      <w:r w:rsidR="002039B1" w:rsidRPr="00B14C54">
        <w:rPr>
          <w:rFonts w:ascii="Times New Roman" w:hAnsi="Times New Roman"/>
        </w:rPr>
        <w:t>mpared to net outflows of EUR 9</w:t>
      </w:r>
      <w:r w:rsidR="00595DBB" w:rsidRPr="00B14C54">
        <w:rPr>
          <w:rFonts w:ascii="Times New Roman" w:hAnsi="Times New Roman"/>
        </w:rPr>
        <w:t xml:space="preserve"> billion in 2016).</w:t>
      </w:r>
    </w:p>
    <w:p w:rsidR="00595DBB" w:rsidRPr="00B14C54" w:rsidRDefault="00595DBB" w:rsidP="0052631D">
      <w:pPr>
        <w:pStyle w:val="ListParagraph"/>
        <w:numPr>
          <w:ilvl w:val="1"/>
          <w:numId w:val="43"/>
        </w:numPr>
        <w:spacing w:after="0" w:line="240" w:lineRule="auto"/>
        <w:ind w:left="2148"/>
        <w:contextualSpacing/>
        <w:jc w:val="both"/>
        <w:rPr>
          <w:rFonts w:ascii="Times New Roman" w:hAnsi="Times New Roman"/>
        </w:rPr>
      </w:pPr>
      <w:r w:rsidRPr="00B14C54">
        <w:rPr>
          <w:rFonts w:ascii="Times New Roman" w:hAnsi="Times New Roman"/>
        </w:rPr>
        <w:t>Bond funds registered net sales of EUR 31</w:t>
      </w:r>
      <w:r w:rsidR="00EE740B" w:rsidRPr="00B14C54">
        <w:rPr>
          <w:rFonts w:ascii="Times New Roman" w:hAnsi="Times New Roman"/>
        </w:rPr>
        <w:t>6</w:t>
      </w:r>
      <w:r w:rsidRPr="00B14C54">
        <w:rPr>
          <w:rFonts w:ascii="Times New Roman" w:hAnsi="Times New Roman"/>
        </w:rPr>
        <w:t xml:space="preserve"> billion (EUR </w:t>
      </w:r>
      <w:r w:rsidR="002039B1" w:rsidRPr="00B14C54">
        <w:rPr>
          <w:rFonts w:ascii="Times New Roman" w:hAnsi="Times New Roman"/>
        </w:rPr>
        <w:t>110</w:t>
      </w:r>
      <w:r w:rsidRPr="00B14C54">
        <w:rPr>
          <w:rFonts w:ascii="Times New Roman" w:hAnsi="Times New Roman"/>
        </w:rPr>
        <w:t xml:space="preserve"> billion in 2016).</w:t>
      </w:r>
    </w:p>
    <w:p w:rsidR="00595DBB" w:rsidRPr="00B14C54" w:rsidRDefault="00595DBB" w:rsidP="0052631D">
      <w:pPr>
        <w:pStyle w:val="ListParagraph"/>
        <w:numPr>
          <w:ilvl w:val="1"/>
          <w:numId w:val="43"/>
        </w:numPr>
        <w:spacing w:after="0" w:line="240" w:lineRule="auto"/>
        <w:ind w:left="2148"/>
        <w:contextualSpacing/>
        <w:jc w:val="both"/>
        <w:rPr>
          <w:rFonts w:ascii="Times New Roman" w:hAnsi="Times New Roman"/>
        </w:rPr>
      </w:pPr>
      <w:r w:rsidRPr="00B14C54">
        <w:rPr>
          <w:rFonts w:ascii="Times New Roman" w:hAnsi="Times New Roman"/>
        </w:rPr>
        <w:t xml:space="preserve">Multi-assets funds registered net sales of EUR </w:t>
      </w:r>
      <w:r w:rsidR="001D5279" w:rsidRPr="00B14C54">
        <w:rPr>
          <w:rFonts w:ascii="Times New Roman" w:hAnsi="Times New Roman"/>
        </w:rPr>
        <w:t>190</w:t>
      </w:r>
      <w:r w:rsidRPr="00B14C54">
        <w:rPr>
          <w:rFonts w:ascii="Times New Roman" w:hAnsi="Times New Roman"/>
        </w:rPr>
        <w:t xml:space="preserve"> billion (EUR </w:t>
      </w:r>
      <w:r w:rsidR="002039B1" w:rsidRPr="00B14C54">
        <w:rPr>
          <w:rFonts w:ascii="Times New Roman" w:hAnsi="Times New Roman"/>
        </w:rPr>
        <w:t>49</w:t>
      </w:r>
      <w:r w:rsidRPr="00B14C54">
        <w:rPr>
          <w:rFonts w:ascii="Times New Roman" w:hAnsi="Times New Roman"/>
        </w:rPr>
        <w:t xml:space="preserve"> billion in 2016).</w:t>
      </w:r>
    </w:p>
    <w:p w:rsidR="00595DBB" w:rsidRPr="00B14C54" w:rsidRDefault="00595DBB" w:rsidP="0052631D">
      <w:pPr>
        <w:pStyle w:val="ListParagraph"/>
        <w:numPr>
          <w:ilvl w:val="1"/>
          <w:numId w:val="43"/>
        </w:numPr>
        <w:spacing w:after="0" w:line="240" w:lineRule="auto"/>
        <w:ind w:left="2148"/>
        <w:contextualSpacing/>
        <w:jc w:val="both"/>
        <w:rPr>
          <w:rFonts w:ascii="Times New Roman" w:hAnsi="Times New Roman"/>
        </w:rPr>
      </w:pPr>
      <w:r w:rsidRPr="00B14C54">
        <w:rPr>
          <w:rFonts w:ascii="Times New Roman" w:hAnsi="Times New Roman"/>
        </w:rPr>
        <w:t xml:space="preserve">Other UCITS funds </w:t>
      </w:r>
      <w:r w:rsidR="00EE740B" w:rsidRPr="00B14C54">
        <w:rPr>
          <w:rFonts w:ascii="Times New Roman" w:hAnsi="Times New Roman"/>
        </w:rPr>
        <w:t xml:space="preserve">registered net </w:t>
      </w:r>
      <w:r w:rsidR="001D5279" w:rsidRPr="00B14C54">
        <w:rPr>
          <w:rFonts w:ascii="Times New Roman" w:hAnsi="Times New Roman"/>
        </w:rPr>
        <w:t>sales</w:t>
      </w:r>
      <w:r w:rsidRPr="00B14C54">
        <w:rPr>
          <w:rFonts w:ascii="Times New Roman" w:hAnsi="Times New Roman"/>
        </w:rPr>
        <w:t xml:space="preserve"> of EUR </w:t>
      </w:r>
      <w:r w:rsidR="001D5279" w:rsidRPr="00B14C54">
        <w:rPr>
          <w:rFonts w:ascii="Times New Roman" w:hAnsi="Times New Roman"/>
        </w:rPr>
        <w:t>5</w:t>
      </w:r>
      <w:r w:rsidRPr="00B14C54">
        <w:rPr>
          <w:rFonts w:ascii="Times New Roman" w:hAnsi="Times New Roman"/>
        </w:rPr>
        <w:t xml:space="preserve"> billion (EUR </w:t>
      </w:r>
      <w:r w:rsidR="002039B1" w:rsidRPr="00B14C54">
        <w:rPr>
          <w:rFonts w:ascii="Times New Roman" w:hAnsi="Times New Roman"/>
        </w:rPr>
        <w:t>9</w:t>
      </w:r>
      <w:r w:rsidRPr="00B14C54">
        <w:rPr>
          <w:rFonts w:ascii="Times New Roman" w:hAnsi="Times New Roman"/>
        </w:rPr>
        <w:t xml:space="preserve"> billion in 2016).</w:t>
      </w:r>
    </w:p>
    <w:p w:rsidR="008473F3" w:rsidRPr="00B14C54" w:rsidRDefault="008473F3" w:rsidP="0052631D">
      <w:pPr>
        <w:ind w:left="1788"/>
        <w:contextualSpacing/>
        <w:jc w:val="both"/>
        <w:rPr>
          <w:sz w:val="22"/>
          <w:szCs w:val="22"/>
        </w:rPr>
      </w:pPr>
    </w:p>
    <w:p w:rsidR="00595DBB" w:rsidRPr="00B14C54" w:rsidRDefault="00595DBB" w:rsidP="0052631D">
      <w:pPr>
        <w:pStyle w:val="ListParagraph"/>
        <w:numPr>
          <w:ilvl w:val="0"/>
          <w:numId w:val="43"/>
        </w:numPr>
        <w:spacing w:after="0" w:line="240" w:lineRule="auto"/>
        <w:ind w:left="1428"/>
        <w:contextualSpacing/>
        <w:jc w:val="both"/>
        <w:rPr>
          <w:rFonts w:ascii="Times New Roman" w:hAnsi="Times New Roman"/>
          <w:b/>
        </w:rPr>
      </w:pPr>
      <w:r w:rsidRPr="00B14C54">
        <w:rPr>
          <w:rFonts w:ascii="Times New Roman" w:hAnsi="Times New Roman"/>
          <w:b/>
        </w:rPr>
        <w:t xml:space="preserve">Money market funds registered net sales of EUR </w:t>
      </w:r>
      <w:r w:rsidR="00EE740B" w:rsidRPr="00B14C54">
        <w:rPr>
          <w:rFonts w:ascii="Times New Roman" w:hAnsi="Times New Roman"/>
          <w:b/>
        </w:rPr>
        <w:t>68</w:t>
      </w:r>
      <w:r w:rsidRPr="00B14C54">
        <w:rPr>
          <w:rFonts w:ascii="Times New Roman" w:hAnsi="Times New Roman"/>
          <w:b/>
        </w:rPr>
        <w:t xml:space="preserve"> billion (EUR </w:t>
      </w:r>
      <w:r w:rsidR="002039B1" w:rsidRPr="00B14C54">
        <w:rPr>
          <w:rFonts w:ascii="Times New Roman" w:hAnsi="Times New Roman"/>
          <w:b/>
        </w:rPr>
        <w:t>111</w:t>
      </w:r>
      <w:r w:rsidRPr="00B14C54">
        <w:rPr>
          <w:rFonts w:ascii="Times New Roman" w:hAnsi="Times New Roman"/>
          <w:b/>
        </w:rPr>
        <w:t xml:space="preserve"> billion in 2016).</w:t>
      </w:r>
    </w:p>
    <w:p w:rsidR="00595DBB" w:rsidRPr="00B14C54" w:rsidRDefault="00595DBB" w:rsidP="0052631D">
      <w:pPr>
        <w:pStyle w:val="ListParagraph"/>
        <w:spacing w:after="0" w:line="240" w:lineRule="auto"/>
        <w:ind w:left="1428"/>
        <w:contextualSpacing/>
        <w:jc w:val="both"/>
        <w:rPr>
          <w:rFonts w:ascii="Times New Roman" w:hAnsi="Times New Roman"/>
          <w:b/>
        </w:rPr>
      </w:pPr>
    </w:p>
    <w:p w:rsidR="00595DBB" w:rsidRPr="00B14C54" w:rsidRDefault="00EE740B" w:rsidP="0052631D">
      <w:pPr>
        <w:pStyle w:val="ListParagraph"/>
        <w:numPr>
          <w:ilvl w:val="0"/>
          <w:numId w:val="43"/>
        </w:numPr>
        <w:spacing w:after="0" w:line="240" w:lineRule="auto"/>
        <w:contextualSpacing/>
        <w:jc w:val="both"/>
        <w:rPr>
          <w:rFonts w:ascii="Times New Roman" w:hAnsi="Times New Roman"/>
          <w:b/>
        </w:rPr>
      </w:pPr>
      <w:r w:rsidRPr="00B14C54">
        <w:rPr>
          <w:rFonts w:ascii="Times New Roman" w:hAnsi="Times New Roman"/>
          <w:b/>
        </w:rPr>
        <w:t xml:space="preserve">AIF recorded net sales of EUR 211 </w:t>
      </w:r>
      <w:r w:rsidR="00595DBB" w:rsidRPr="00B14C54">
        <w:rPr>
          <w:rFonts w:ascii="Times New Roman" w:hAnsi="Times New Roman"/>
          <w:b/>
        </w:rPr>
        <w:t>billion (EUR 1</w:t>
      </w:r>
      <w:r w:rsidR="002039B1" w:rsidRPr="00B14C54">
        <w:rPr>
          <w:rFonts w:ascii="Times New Roman" w:hAnsi="Times New Roman"/>
          <w:b/>
        </w:rPr>
        <w:t>91</w:t>
      </w:r>
      <w:r w:rsidR="008473F3" w:rsidRPr="00B14C54">
        <w:rPr>
          <w:rFonts w:ascii="Times New Roman" w:hAnsi="Times New Roman"/>
          <w:b/>
        </w:rPr>
        <w:t xml:space="preserve"> billion in 2016), reaching its highest point yet.</w:t>
      </w:r>
    </w:p>
    <w:p w:rsidR="00595DBB" w:rsidRPr="00B14C54" w:rsidRDefault="00595DBB" w:rsidP="0052631D">
      <w:pPr>
        <w:pStyle w:val="ListParagraph"/>
        <w:numPr>
          <w:ilvl w:val="1"/>
          <w:numId w:val="43"/>
        </w:numPr>
        <w:spacing w:after="0" w:line="240" w:lineRule="auto"/>
        <w:contextualSpacing/>
        <w:jc w:val="both"/>
        <w:rPr>
          <w:rFonts w:ascii="Times New Roman" w:hAnsi="Times New Roman"/>
        </w:rPr>
      </w:pPr>
      <w:r w:rsidRPr="00B14C54">
        <w:rPr>
          <w:rFonts w:ascii="Times New Roman" w:hAnsi="Times New Roman"/>
        </w:rPr>
        <w:t xml:space="preserve">Money market AIF funds registered net outflows of EUR </w:t>
      </w:r>
      <w:r w:rsidR="001D5279" w:rsidRPr="00B14C54">
        <w:rPr>
          <w:rFonts w:ascii="Times New Roman" w:hAnsi="Times New Roman"/>
        </w:rPr>
        <w:t>3</w:t>
      </w:r>
      <w:r w:rsidRPr="00B14C54">
        <w:rPr>
          <w:rFonts w:ascii="Times New Roman" w:hAnsi="Times New Roman"/>
        </w:rPr>
        <w:t xml:space="preserve"> billion (compared to net inflows of EUR 1 billion in 2016).</w:t>
      </w:r>
    </w:p>
    <w:p w:rsidR="00595DBB" w:rsidRPr="00B14C54" w:rsidRDefault="00595DBB" w:rsidP="0052631D">
      <w:pPr>
        <w:pStyle w:val="ListParagraph"/>
        <w:numPr>
          <w:ilvl w:val="1"/>
          <w:numId w:val="43"/>
        </w:numPr>
        <w:spacing w:after="0" w:line="240" w:lineRule="auto"/>
        <w:contextualSpacing/>
        <w:jc w:val="both"/>
        <w:rPr>
          <w:rFonts w:ascii="Times New Roman" w:hAnsi="Times New Roman"/>
        </w:rPr>
      </w:pPr>
      <w:r w:rsidRPr="00B14C54">
        <w:rPr>
          <w:rFonts w:ascii="Times New Roman" w:hAnsi="Times New Roman"/>
        </w:rPr>
        <w:t>Real estate fund</w:t>
      </w:r>
      <w:r w:rsidR="00EE740B" w:rsidRPr="00B14C54">
        <w:rPr>
          <w:rFonts w:ascii="Times New Roman" w:hAnsi="Times New Roman"/>
        </w:rPr>
        <w:t>s registered net sales of EUR 28</w:t>
      </w:r>
      <w:r w:rsidRPr="00B14C54">
        <w:rPr>
          <w:rFonts w:ascii="Times New Roman" w:hAnsi="Times New Roman"/>
        </w:rPr>
        <w:t xml:space="preserve"> billion (EUR </w:t>
      </w:r>
      <w:r w:rsidR="002039B1" w:rsidRPr="00B14C54">
        <w:rPr>
          <w:rFonts w:ascii="Times New Roman" w:hAnsi="Times New Roman"/>
        </w:rPr>
        <w:t>20</w:t>
      </w:r>
      <w:r w:rsidRPr="00B14C54">
        <w:rPr>
          <w:rFonts w:ascii="Times New Roman" w:hAnsi="Times New Roman"/>
        </w:rPr>
        <w:t xml:space="preserve"> billion in 2016).</w:t>
      </w:r>
    </w:p>
    <w:p w:rsidR="00595DBB" w:rsidRPr="00B14C54" w:rsidRDefault="00595DBB" w:rsidP="0052631D">
      <w:pPr>
        <w:pStyle w:val="ListParagraph"/>
        <w:spacing w:after="0" w:line="240" w:lineRule="auto"/>
        <w:ind w:left="1788"/>
        <w:contextualSpacing/>
        <w:jc w:val="both"/>
        <w:rPr>
          <w:rFonts w:ascii="Times New Roman" w:hAnsi="Times New Roman"/>
        </w:rPr>
      </w:pPr>
    </w:p>
    <w:p w:rsidR="00595DBB" w:rsidRPr="00B14C54" w:rsidRDefault="00595DBB" w:rsidP="0052631D">
      <w:pPr>
        <w:pStyle w:val="ListParagraph"/>
        <w:numPr>
          <w:ilvl w:val="0"/>
          <w:numId w:val="43"/>
        </w:numPr>
        <w:spacing w:after="0" w:line="240" w:lineRule="auto"/>
        <w:contextualSpacing/>
        <w:jc w:val="both"/>
        <w:rPr>
          <w:rFonts w:ascii="Times New Roman" w:hAnsi="Times New Roman"/>
          <w:b/>
        </w:rPr>
      </w:pPr>
      <w:r w:rsidRPr="00B14C54">
        <w:rPr>
          <w:rFonts w:ascii="Times New Roman" w:hAnsi="Times New Roman"/>
          <w:b/>
        </w:rPr>
        <w:t>Net assets of UCITS and AIF increased to EUR 1</w:t>
      </w:r>
      <w:r w:rsidR="00672EEC" w:rsidRPr="00B14C54">
        <w:rPr>
          <w:rFonts w:ascii="Times New Roman" w:hAnsi="Times New Roman"/>
          <w:b/>
        </w:rPr>
        <w:t>5,623</w:t>
      </w:r>
      <w:r w:rsidRPr="00B14C54">
        <w:rPr>
          <w:rFonts w:ascii="Times New Roman" w:hAnsi="Times New Roman"/>
          <w:b/>
        </w:rPr>
        <w:t xml:space="preserve"> billion (EUR 14,190 billion at end 2016).</w:t>
      </w:r>
    </w:p>
    <w:p w:rsidR="00EE740B" w:rsidRPr="0052631D" w:rsidRDefault="00EE740B" w:rsidP="0052631D">
      <w:pPr>
        <w:contextualSpacing/>
        <w:jc w:val="both"/>
      </w:pPr>
    </w:p>
    <w:p w:rsidR="00AD420E" w:rsidRPr="008473F3" w:rsidRDefault="001D5279" w:rsidP="008473F3">
      <w:pPr>
        <w:spacing w:after="160" w:line="260" w:lineRule="exact"/>
        <w:contextualSpacing/>
        <w:jc w:val="both"/>
        <w:rPr>
          <w:rFonts w:asciiTheme="minorHAnsi" w:hAnsiTheme="minorHAnsi"/>
          <w:color w:val="000000"/>
        </w:rPr>
      </w:pPr>
      <w:r w:rsidRPr="001D5279">
        <w:rPr>
          <w:noProof/>
        </w:rPr>
        <w:drawing>
          <wp:anchor distT="0" distB="0" distL="114300" distR="114300" simplePos="0" relativeHeight="251808768" behindDoc="0" locked="0" layoutInCell="1" allowOverlap="1">
            <wp:simplePos x="0" y="0"/>
            <wp:positionH relativeFrom="column">
              <wp:posOffset>368148</wp:posOffset>
            </wp:positionH>
            <wp:positionV relativeFrom="paragraph">
              <wp:posOffset>26492</wp:posOffset>
            </wp:positionV>
            <wp:extent cx="5655600" cy="288000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420E" w:rsidRDefault="00AD420E" w:rsidP="00AD420E">
      <w:pPr>
        <w:rPr>
          <w:color w:val="000000"/>
        </w:rPr>
      </w:pPr>
    </w:p>
    <w:p w:rsidR="00AD420E" w:rsidRDefault="00AD420E" w:rsidP="00AD420E">
      <w:pPr>
        <w:pStyle w:val="ListParagraph"/>
        <w:spacing w:after="0" w:line="240" w:lineRule="auto"/>
        <w:rPr>
          <w:color w:val="000000"/>
        </w:rPr>
      </w:pPr>
    </w:p>
    <w:p w:rsidR="00AD420E" w:rsidRPr="004A3139" w:rsidRDefault="00AD420E" w:rsidP="00AD420E">
      <w:pPr>
        <w:pStyle w:val="ListParagraph"/>
        <w:spacing w:after="0" w:line="240" w:lineRule="auto"/>
        <w:rPr>
          <w:b/>
          <w:bCs/>
          <w:color w:val="1F497D"/>
        </w:rPr>
      </w:pPr>
      <w:r w:rsidRPr="004A3139">
        <w:rPr>
          <w:color w:val="000000"/>
        </w:rPr>
        <w:t> </w:t>
      </w:r>
    </w:p>
    <w:p w:rsidR="00AD420E" w:rsidRPr="008C2583"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noProof/>
          <w:sz w:val="28"/>
          <w:szCs w:val="28"/>
          <w:lang w:val="en-US"/>
        </w:rPr>
      </w:pPr>
    </w:p>
    <w:p w:rsidR="00AD420E" w:rsidRDefault="00AD420E" w:rsidP="00AD420E">
      <w:pPr>
        <w:pStyle w:val="Footer"/>
        <w:jc w:val="center"/>
        <w:outlineLvl w:val="0"/>
        <w:rPr>
          <w:b/>
          <w:bCs/>
          <w:noProof/>
          <w:sz w:val="28"/>
          <w:szCs w:val="28"/>
          <w:lang w:val="en-US"/>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9E5B4D" w:rsidRDefault="009E5B4D"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95DBB" w:rsidRDefault="00595DBB"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95DBB" w:rsidRDefault="00595DBB"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95DBB" w:rsidRDefault="00595DBB"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95DBB" w:rsidRDefault="00595DBB"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595DBB"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r>
        <w:rPr>
          <w:b/>
          <w:bCs/>
          <w:noProof/>
          <w:sz w:val="28"/>
          <w:szCs w:val="28"/>
          <w:lang w:val="en-US"/>
        </w:rPr>
        <w:drawing>
          <wp:anchor distT="0" distB="0" distL="114300" distR="114300" simplePos="0" relativeHeight="251742208" behindDoc="0" locked="0" layoutInCell="1" allowOverlap="1" wp14:anchorId="57E5A602">
            <wp:simplePos x="0" y="0"/>
            <wp:positionH relativeFrom="column">
              <wp:posOffset>83185</wp:posOffset>
            </wp:positionH>
            <wp:positionV relativeFrom="paragraph">
              <wp:posOffset>73025</wp:posOffset>
            </wp:positionV>
            <wp:extent cx="6076800" cy="3960000"/>
            <wp:effectExtent l="0" t="0" r="63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800" cy="3960000"/>
                    </a:xfrm>
                    <a:prstGeom prst="rect">
                      <a:avLst/>
                    </a:prstGeom>
                    <a:noFill/>
                  </pic:spPr>
                </pic:pic>
              </a:graphicData>
            </a:graphic>
            <wp14:sizeRelH relativeFrom="page">
              <wp14:pctWidth>0</wp14:pctWidth>
            </wp14:sizeRelH>
            <wp14:sizeRelV relativeFrom="page">
              <wp14:pctHeight>0</wp14:pctHeight>
            </wp14:sizeRelV>
          </wp:anchor>
        </w:drawing>
      </w: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B34402"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r>
        <w:rPr>
          <w:b/>
          <w:bCs/>
          <w:noProof/>
          <w:sz w:val="28"/>
          <w:szCs w:val="28"/>
          <w:lang w:val="en-US"/>
        </w:rPr>
        <w:drawing>
          <wp:anchor distT="0" distB="0" distL="114300" distR="114300" simplePos="0" relativeHeight="251743232" behindDoc="0" locked="0" layoutInCell="1" allowOverlap="1" wp14:anchorId="01E17BE8">
            <wp:simplePos x="0" y="0"/>
            <wp:positionH relativeFrom="column">
              <wp:posOffset>82550</wp:posOffset>
            </wp:positionH>
            <wp:positionV relativeFrom="page">
              <wp:posOffset>5259705</wp:posOffset>
            </wp:positionV>
            <wp:extent cx="6076800" cy="3960000"/>
            <wp:effectExtent l="0" t="0" r="63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800" cy="3960000"/>
                    </a:xfrm>
                    <a:prstGeom prst="rect">
                      <a:avLst/>
                    </a:prstGeom>
                    <a:noFill/>
                  </pic:spPr>
                </pic:pic>
              </a:graphicData>
            </a:graphic>
            <wp14:sizeRelH relativeFrom="page">
              <wp14:pctWidth>0</wp14:pctWidth>
            </wp14:sizeRelH>
            <wp14:sizeRelV relativeFrom="page">
              <wp14:pctHeight>0</wp14:pctHeight>
            </wp14:sizeRelV>
          </wp:anchor>
        </w:drawing>
      </w: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Pr="006847BB" w:rsidRDefault="00AD420E" w:rsidP="00AD420E">
      <w:pPr>
        <w:pStyle w:val="Footer"/>
        <w:outlineLvl w:val="0"/>
        <w:rPr>
          <w:bCs/>
          <w:lang w:val="en-US"/>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r>
        <w:rPr>
          <w:noProof/>
          <w:lang w:val="en-US"/>
        </w:rPr>
        <mc:AlternateContent>
          <mc:Choice Requires="wps">
            <w:drawing>
              <wp:anchor distT="0" distB="0" distL="114300" distR="114300" simplePos="0" relativeHeight="251734016" behindDoc="0" locked="0" layoutInCell="1" allowOverlap="1" wp14:anchorId="33D423E2" wp14:editId="6C717622">
                <wp:simplePos x="0" y="0"/>
                <wp:positionH relativeFrom="column">
                  <wp:posOffset>85090</wp:posOffset>
                </wp:positionH>
                <wp:positionV relativeFrom="paragraph">
                  <wp:posOffset>59690</wp:posOffset>
                </wp:positionV>
                <wp:extent cx="6073140" cy="340242"/>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6073140" cy="340242"/>
                        </a:xfrm>
                        <a:prstGeom prst="rect">
                          <a:avLst/>
                        </a:prstGeom>
                        <a:noFill/>
                        <a:ln w="6350">
                          <a:noFill/>
                        </a:ln>
                        <a:effectLst/>
                      </wps:spPr>
                      <wps:txbx>
                        <w:txbxContent>
                          <w:p w:rsidR="00AD420E" w:rsidRPr="00FD755F" w:rsidRDefault="00AD420E" w:rsidP="00AD420E">
                            <w:pPr>
                              <w:pStyle w:val="Footer"/>
                              <w:jc w:val="both"/>
                              <w:outlineLvl w:val="0"/>
                              <w:rPr>
                                <w:bCs/>
                                <w:sz w:val="16"/>
                              </w:rPr>
                            </w:pPr>
                            <w:r w:rsidRPr="008B5451">
                              <w:rPr>
                                <w:bCs/>
                                <w:sz w:val="16"/>
                                <w:lang w:val="en-US"/>
                              </w:rPr>
                              <w:t xml:space="preserve">(1) </w:t>
                            </w:r>
                            <w:r>
                              <w:rPr>
                                <w:bCs/>
                                <w:sz w:val="16"/>
                                <w:lang w:val="en-US"/>
                              </w:rPr>
                              <w:t>Source: EFAMA database, annual data. Total net asset figures in 2008-2014 include data on funds domiciled in the Netherlands, whereas Dutch-domiciled funds are not included in UCITS/AIF categories and asset classes due to unavailability of data.</w:t>
                            </w:r>
                          </w:p>
                          <w:p w:rsidR="00AD420E" w:rsidRPr="008B5451" w:rsidRDefault="00AD420E" w:rsidP="00AD420E">
                            <w:pPr>
                              <w:pStyle w:val="Footer"/>
                              <w:jc w:val="both"/>
                              <w:outlineLvl w:val="0"/>
                              <w:rPr>
                                <w:bCs/>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423E2" id="_x0000_t202" coordsize="21600,21600" o:spt="202" path="m,l,21600r21600,l21600,xe">
                <v:stroke joinstyle="miter"/>
                <v:path gradientshapeok="t" o:connecttype="rect"/>
              </v:shapetype>
              <v:shape id="Text Box 8" o:spid="_x0000_s1026" type="#_x0000_t202" style="position:absolute;margin-left:6.7pt;margin-top:4.7pt;width:478.2pt;height:2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" filled="f" stroked="f" strokeweight=".5pt">
                <v:textbox>
                  <w:txbxContent>
                    <w:p w:rsidR="00AD420E" w:rsidRPr="00FD755F" w:rsidRDefault="00AD420E" w:rsidP="00AD420E">
                      <w:pPr>
                        <w:pStyle w:val="Footer"/>
                        <w:jc w:val="both"/>
                        <w:outlineLvl w:val="0"/>
                        <w:rPr>
                          <w:bCs/>
                          <w:sz w:val="16"/>
                        </w:rPr>
                      </w:pPr>
                      <w:r w:rsidRPr="008B5451">
                        <w:rPr>
                          <w:bCs/>
                          <w:sz w:val="16"/>
                          <w:lang w:val="en-US"/>
                        </w:rPr>
                        <w:t xml:space="preserve">(1) </w:t>
                      </w:r>
                      <w:r>
                        <w:rPr>
                          <w:bCs/>
                          <w:sz w:val="16"/>
                          <w:lang w:val="en-US"/>
                        </w:rPr>
                        <w:t>Source: EFAMA database, annual data. Total net asset figures in 2008-2014 include data on funds domiciled in the Netherlands, whereas Dutch-domiciled funds are not included in UCITS/AIF categories and asset classes due to unavailability of data.</w:t>
                      </w:r>
                    </w:p>
                    <w:p w:rsidR="00AD420E" w:rsidRPr="008B5451" w:rsidRDefault="00AD420E" w:rsidP="00AD420E">
                      <w:pPr>
                        <w:pStyle w:val="Footer"/>
                        <w:jc w:val="both"/>
                        <w:outlineLvl w:val="0"/>
                        <w:rPr>
                          <w:bCs/>
                          <w:sz w:val="16"/>
                        </w:rPr>
                      </w:pPr>
                    </w:p>
                  </w:txbxContent>
                </v:textbox>
              </v:shape>
            </w:pict>
          </mc:Fallback>
        </mc:AlternateContent>
      </w:r>
    </w:p>
    <w:p w:rsidR="00AD420E"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B34402"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r>
        <w:rPr>
          <w:bCs/>
          <w:noProof/>
          <w:lang w:val="en-US"/>
        </w:rPr>
        <w:lastRenderedPageBreak/>
        <w:drawing>
          <wp:anchor distT="0" distB="0" distL="114300" distR="114300" simplePos="0" relativeHeight="251745280" behindDoc="0" locked="0" layoutInCell="1" allowOverlap="1" wp14:anchorId="52302407">
            <wp:simplePos x="0" y="0"/>
            <wp:positionH relativeFrom="column">
              <wp:posOffset>-635</wp:posOffset>
            </wp:positionH>
            <wp:positionV relativeFrom="paragraph">
              <wp:posOffset>139700</wp:posOffset>
            </wp:positionV>
            <wp:extent cx="6080400" cy="396000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0400" cy="3960000"/>
                    </a:xfrm>
                    <a:prstGeom prst="rect">
                      <a:avLst/>
                    </a:prstGeom>
                    <a:noFill/>
                  </pic:spPr>
                </pic:pic>
              </a:graphicData>
            </a:graphic>
            <wp14:sizeRelH relativeFrom="page">
              <wp14:pctWidth>0</wp14:pctWidth>
            </wp14:sizeRelH>
            <wp14:sizeRelV relativeFrom="page">
              <wp14:pctHeight>0</wp14:pctHeight>
            </wp14:sizeRelV>
          </wp:anchor>
        </w:drawing>
      </w: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8C2583" w:rsidRDefault="00AD420E" w:rsidP="00AD420E">
      <w:pPr>
        <w:pStyle w:val="Footer"/>
        <w:outlineLvl w:val="0"/>
        <w:rPr>
          <w:b/>
          <w:bCs/>
          <w:sz w:val="28"/>
          <w:szCs w:val="28"/>
          <w:lang w:val="en-US"/>
          <w14:shadow w14:blurRad="50800" w14:dist="38100" w14:dir="2700000" w14:sx="100000" w14:sy="100000" w14:kx="0" w14:ky="0" w14:algn="tl">
            <w14:srgbClr w14:val="000000">
              <w14:alpha w14:val="60000"/>
            </w14:srgbClr>
          </w14:shadow>
        </w:rPr>
      </w:pPr>
    </w:p>
    <w:p w:rsidR="00AD420E" w:rsidRPr="006847BB"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B34402" w:rsidP="00AD420E">
      <w:pPr>
        <w:pStyle w:val="Footer"/>
        <w:outlineLvl w:val="0"/>
        <w:rPr>
          <w:bCs/>
          <w:lang w:val="en-US"/>
        </w:rPr>
      </w:pPr>
      <w:r>
        <w:rPr>
          <w:b/>
          <w:bCs/>
          <w:noProof/>
          <w:sz w:val="28"/>
          <w:szCs w:val="28"/>
          <w:lang w:val="en-US"/>
        </w:rPr>
        <w:drawing>
          <wp:anchor distT="0" distB="0" distL="114300" distR="114300" simplePos="0" relativeHeight="251744256" behindDoc="0" locked="0" layoutInCell="1" allowOverlap="1" wp14:anchorId="64079CA8">
            <wp:simplePos x="0" y="0"/>
            <wp:positionH relativeFrom="column">
              <wp:posOffset>-635</wp:posOffset>
            </wp:positionH>
            <wp:positionV relativeFrom="page">
              <wp:posOffset>5267326</wp:posOffset>
            </wp:positionV>
            <wp:extent cx="6076315" cy="3957680"/>
            <wp:effectExtent l="0" t="0" r="635"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421" cy="3958400"/>
                    </a:xfrm>
                    <a:prstGeom prst="rect">
                      <a:avLst/>
                    </a:prstGeom>
                    <a:noFill/>
                  </pic:spPr>
                </pic:pic>
              </a:graphicData>
            </a:graphic>
            <wp14:sizeRelH relativeFrom="page">
              <wp14:pctWidth>0</wp14:pctWidth>
            </wp14:sizeRelH>
            <wp14:sizeRelV relativeFrom="page">
              <wp14:pctHeight>0</wp14:pctHeight>
            </wp14:sizeRelV>
          </wp:anchor>
        </w:drawing>
      </w: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r>
        <w:rPr>
          <w:bCs/>
          <w:lang w:val="en-US"/>
        </w:rPr>
        <w:t xml:space="preserve"> </w:t>
      </w: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Default="00AD420E" w:rsidP="00AD420E">
      <w:pPr>
        <w:pStyle w:val="Footer"/>
        <w:outlineLvl w:val="0"/>
        <w:rPr>
          <w:bCs/>
          <w:lang w:val="en-US"/>
        </w:rPr>
      </w:pPr>
    </w:p>
    <w:p w:rsidR="00AD420E" w:rsidRPr="008C2583" w:rsidRDefault="00AD420E" w:rsidP="00AD420E">
      <w:pPr>
        <w:autoSpaceDE/>
        <w:autoSpaceDN/>
        <w:jc w:val="center"/>
        <w:rPr>
          <w:b/>
          <w:bCs/>
          <w:sz w:val="28"/>
          <w:szCs w:val="28"/>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719680" behindDoc="0" locked="0" layoutInCell="1" allowOverlap="1" wp14:anchorId="55985D8A" wp14:editId="51496B59">
                <wp:simplePos x="0" y="0"/>
                <wp:positionH relativeFrom="column">
                  <wp:posOffset>94615</wp:posOffset>
                </wp:positionH>
                <wp:positionV relativeFrom="paragraph">
                  <wp:posOffset>193143</wp:posOffset>
                </wp:positionV>
                <wp:extent cx="5977890" cy="552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77890" cy="552450"/>
                        </a:xfrm>
                        <a:prstGeom prst="rect">
                          <a:avLst/>
                        </a:prstGeom>
                        <a:noFill/>
                        <a:ln w="6350">
                          <a:noFill/>
                        </a:ln>
                        <a:effectLst/>
                      </wps:spPr>
                      <wps:txbx>
                        <w:txbxContent>
                          <w:p w:rsidR="00AD420E" w:rsidRPr="00FD755F" w:rsidRDefault="00AD420E" w:rsidP="00AD420E">
                            <w:pPr>
                              <w:pStyle w:val="Footer"/>
                              <w:jc w:val="both"/>
                              <w:outlineLvl w:val="0"/>
                              <w:rPr>
                                <w:bCs/>
                                <w:sz w:val="16"/>
                              </w:rPr>
                            </w:pPr>
                            <w:r w:rsidRPr="008B5451">
                              <w:rPr>
                                <w:bCs/>
                                <w:sz w:val="16"/>
                                <w:lang w:val="en-US"/>
                              </w:rPr>
                              <w:t xml:space="preserve">(1) </w:t>
                            </w:r>
                            <w:r>
                              <w:rPr>
                                <w:bCs/>
                                <w:sz w:val="16"/>
                                <w:lang w:val="en-US"/>
                              </w:rPr>
                              <w:t>Source: EFAMA data</w:t>
                            </w:r>
                            <w:r w:rsidR="00672EEC">
                              <w:rPr>
                                <w:bCs/>
                                <w:sz w:val="16"/>
                                <w:lang w:val="en-US"/>
                              </w:rPr>
                              <w:t>base, annual data. Data for 2017</w:t>
                            </w:r>
                            <w:r>
                              <w:rPr>
                                <w:bCs/>
                                <w:sz w:val="16"/>
                                <w:lang w:val="en-US"/>
                              </w:rPr>
                              <w:t xml:space="preserve"> excludes data on Belgian net sales due to unavailability.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5D8A" id="Text Box 15" o:spid="_x0000_s1027" type="#_x0000_t202" style="position:absolute;left:0;text-align:left;margin-left:7.45pt;margin-top:15.2pt;width:470.7pt;height: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" filled="f" stroked="f" strokeweight=".5pt">
                <v:textbox>
                  <w:txbxContent>
                    <w:p w:rsidR="00AD420E" w:rsidRPr="00FD755F" w:rsidRDefault="00AD420E" w:rsidP="00AD420E">
                      <w:pPr>
                        <w:pStyle w:val="Footer"/>
                        <w:jc w:val="both"/>
                        <w:outlineLvl w:val="0"/>
                        <w:rPr>
                          <w:bCs/>
                          <w:sz w:val="16"/>
                        </w:rPr>
                      </w:pPr>
                      <w:r w:rsidRPr="008B5451">
                        <w:rPr>
                          <w:bCs/>
                          <w:sz w:val="16"/>
                          <w:lang w:val="en-US"/>
                        </w:rPr>
                        <w:t xml:space="preserve">(1) </w:t>
                      </w:r>
                      <w:r>
                        <w:rPr>
                          <w:bCs/>
                          <w:sz w:val="16"/>
                          <w:lang w:val="en-US"/>
                        </w:rPr>
                        <w:t>Source: EFAMA data</w:t>
                      </w:r>
                      <w:r w:rsidR="00672EEC">
                        <w:rPr>
                          <w:bCs/>
                          <w:sz w:val="16"/>
                          <w:lang w:val="en-US"/>
                        </w:rPr>
                        <w:t>base, annual data. Data for 2017</w:t>
                      </w:r>
                      <w:r>
                        <w:rPr>
                          <w:bCs/>
                          <w:sz w:val="16"/>
                          <w:lang w:val="en-US"/>
                        </w:rPr>
                        <w:t xml:space="preserve"> excludes data on Belgian net sales due to unavailability.</w:t>
                      </w:r>
                    </w:p>
                  </w:txbxContent>
                </v:textbox>
              </v:shape>
            </w:pict>
          </mc:Fallback>
        </mc:AlternateContent>
      </w:r>
      <w:r>
        <w:rPr>
          <w:bCs/>
        </w:rPr>
        <w:br w:type="page"/>
      </w:r>
      <w:r w:rsidR="00E74878">
        <w:rPr>
          <w:b/>
          <w:bCs/>
          <w:sz w:val="28"/>
          <w:szCs w:val="28"/>
          <w14:shadow w14:blurRad="50800" w14:dist="38100" w14:dir="2700000" w14:sx="100000" w14:sy="100000" w14:kx="0" w14:ky="0" w14:algn="tl">
            <w14:srgbClr w14:val="000000">
              <w14:alpha w14:val="60000"/>
            </w14:srgbClr>
          </w14:shadow>
        </w:rPr>
        <w:lastRenderedPageBreak/>
        <w:t>Top Ten Domiciles in 2017</w:t>
      </w:r>
    </w:p>
    <w:p w:rsidR="00AD420E" w:rsidRDefault="00AD420E" w:rsidP="00AD420E">
      <w:pPr>
        <w:pStyle w:val="Footer"/>
        <w:jc w:val="center"/>
        <w:outlineLvl w:val="0"/>
        <w:rPr>
          <w:b/>
          <w:bCs/>
          <w:i/>
          <w:iCs/>
          <w:sz w:val="16"/>
          <w:szCs w:val="16"/>
          <w:lang w:val="en-US"/>
        </w:rPr>
      </w:pPr>
      <w:r>
        <w:rPr>
          <w:b/>
          <w:bCs/>
          <w:i/>
          <w:iCs/>
          <w:sz w:val="28"/>
          <w:szCs w:val="28"/>
          <w:lang w:val="en-US"/>
          <w14:shadow w14:blurRad="50800" w14:dist="38100" w14:dir="2700000" w14:sx="100000" w14:sy="100000" w14:kx="0" w14:ky="0" w14:algn="tl">
            <w14:srgbClr w14:val="000000">
              <w14:alpha w14:val="60000"/>
            </w14:srgbClr>
          </w14:shadow>
        </w:rPr>
        <w:t>Largest Domiciles in terms of Net Assets and Net Sales</w:t>
      </w:r>
    </w:p>
    <w:p w:rsidR="00AD420E" w:rsidRDefault="00AD420E" w:rsidP="00AD420E">
      <w:pPr>
        <w:autoSpaceDE/>
        <w:autoSpaceDN/>
        <w:jc w:val="center"/>
        <w:rPr>
          <w:b/>
          <w:bCs/>
          <w:i/>
          <w:iCs/>
          <w:sz w:val="16"/>
          <w:szCs w:val="16"/>
        </w:rPr>
      </w:pPr>
    </w:p>
    <w:p w:rsidR="00AD420E" w:rsidRDefault="00AD420E" w:rsidP="00AD420E">
      <w:pPr>
        <w:autoSpaceDE/>
        <w:autoSpaceDN/>
        <w:jc w:val="center"/>
        <w:rPr>
          <w:b/>
          <w:bCs/>
          <w:sz w:val="28"/>
          <w:szCs w:val="28"/>
          <w14:shadow w14:blurRad="50800" w14:dist="38100" w14:dir="2700000" w14:sx="100000" w14:sy="100000" w14:kx="0" w14:ky="0" w14:algn="tl">
            <w14:srgbClr w14:val="000000">
              <w14:alpha w14:val="60000"/>
            </w14:srgbClr>
          </w14:shadow>
        </w:rPr>
      </w:pPr>
      <w:r>
        <w:rPr>
          <w:b/>
          <w:bCs/>
          <w:noProof/>
          <w:sz w:val="28"/>
          <w:szCs w:val="28"/>
        </w:rPr>
        <mc:AlternateContent>
          <mc:Choice Requires="wps">
            <w:drawing>
              <wp:anchor distT="0" distB="0" distL="114300" distR="114300" simplePos="0" relativeHeight="251729920" behindDoc="0" locked="0" layoutInCell="1" allowOverlap="1" wp14:anchorId="448CC697" wp14:editId="67AB76EE">
                <wp:simplePos x="0" y="0"/>
                <wp:positionH relativeFrom="column">
                  <wp:posOffset>-137707</wp:posOffset>
                </wp:positionH>
                <wp:positionV relativeFrom="paragraph">
                  <wp:posOffset>8271939</wp:posOffset>
                </wp:positionV>
                <wp:extent cx="6642188" cy="318401"/>
                <wp:effectExtent l="0" t="0" r="0" b="5715"/>
                <wp:wrapNone/>
                <wp:docPr id="27" name="Text Box 27"/>
                <wp:cNvGraphicFramePr/>
                <a:graphic xmlns:a="http://schemas.openxmlformats.org/drawingml/2006/main">
                  <a:graphicData uri="http://schemas.microsoft.com/office/word/2010/wordprocessingShape">
                    <wps:wsp>
                      <wps:cNvSpPr txBox="1"/>
                      <wps:spPr>
                        <a:xfrm>
                          <a:off x="0" y="0"/>
                          <a:ext cx="6642188" cy="318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20E" w:rsidRPr="00636E54" w:rsidRDefault="00AD420E" w:rsidP="00AD420E">
                            <w:pPr>
                              <w:rPr>
                                <w:sz w:val="16"/>
                              </w:rPr>
                            </w:pPr>
                            <w:r w:rsidRPr="00636E54">
                              <w:rPr>
                                <w:sz w:val="16"/>
                              </w:rPr>
                              <w:t>*Funds domiciled in Switzerland that fulfill the UCITS criteria are classified as UCITS</w:t>
                            </w:r>
                            <w:r w:rsidR="00662BB2">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C697" id="Text Box 27" o:spid="_x0000_s1028" type="#_x0000_t202" style="position:absolute;left:0;text-align:left;margin-left:-10.85pt;margin-top:651.35pt;width:523pt;height:2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" filled="f" stroked="f" strokeweight=".5pt">
                <v:textbox>
                  <w:txbxContent>
                    <w:p w:rsidR="00AD420E" w:rsidRPr="00636E54" w:rsidRDefault="00AD420E" w:rsidP="00AD420E">
                      <w:pPr>
                        <w:rPr>
                          <w:sz w:val="16"/>
                        </w:rPr>
                      </w:pPr>
                      <w:r w:rsidRPr="00636E54">
                        <w:rPr>
                          <w:sz w:val="16"/>
                        </w:rPr>
                        <w:t>*Funds domiciled in Switzerland that fulfill the UCITS criteria are classified as UCITS</w:t>
                      </w:r>
                      <w:r w:rsidR="00662BB2">
                        <w:rPr>
                          <w:sz w:val="16"/>
                        </w:rPr>
                        <w:t>.</w:t>
                      </w:r>
                    </w:p>
                  </w:txbxContent>
                </v:textbox>
              </v:shape>
            </w:pict>
          </mc:Fallback>
        </mc:AlternateContent>
      </w:r>
      <w:r>
        <w:rPr>
          <w:b/>
          <w:bCs/>
          <w:noProof/>
          <w:sz w:val="28"/>
          <w:szCs w:val="28"/>
        </w:rPr>
        <mc:AlternateContent>
          <mc:Choice Requires="wps">
            <w:drawing>
              <wp:anchor distT="0" distB="0" distL="114300" distR="114300" simplePos="0" relativeHeight="251727872" behindDoc="0" locked="0" layoutInCell="1" allowOverlap="1" wp14:anchorId="37FE6DC4" wp14:editId="36C5C1DC">
                <wp:simplePos x="0" y="0"/>
                <wp:positionH relativeFrom="column">
                  <wp:posOffset>1399540</wp:posOffset>
                </wp:positionH>
                <wp:positionV relativeFrom="paragraph">
                  <wp:posOffset>291657</wp:posOffset>
                </wp:positionV>
                <wp:extent cx="3879850" cy="276225"/>
                <wp:effectExtent l="0" t="0" r="6350" b="9525"/>
                <wp:wrapNone/>
                <wp:docPr id="9" name="Text Box 9"/>
                <wp:cNvGraphicFramePr/>
                <a:graphic xmlns:a="http://schemas.openxmlformats.org/drawingml/2006/main">
                  <a:graphicData uri="http://schemas.microsoft.com/office/word/2010/wordprocessingShape">
                    <wps:wsp>
                      <wps:cNvSpPr txBox="1"/>
                      <wps:spPr>
                        <a:xfrm>
                          <a:off x="0" y="0"/>
                          <a:ext cx="3879850" cy="27622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420E" w:rsidRPr="00717DD7" w:rsidRDefault="00AD420E" w:rsidP="00AD420E">
                            <w:pPr>
                              <w:jc w:val="center"/>
                              <w:rPr>
                                <w:rFonts w:ascii="Arial" w:hAnsi="Arial" w:cs="Arial"/>
                                <w:b/>
                                <w:color w:val="FFFFFF" w:themeColor="background1"/>
                                <w:sz w:val="16"/>
                              </w:rPr>
                            </w:pPr>
                            <w:r>
                              <w:rPr>
                                <w:rFonts w:ascii="Arial" w:hAnsi="Arial" w:cs="Arial"/>
                                <w:b/>
                                <w:color w:val="FFFFFF" w:themeColor="background1"/>
                                <w:sz w:val="20"/>
                              </w:rPr>
                              <w:t>UCITS</w:t>
                            </w:r>
                            <w:r w:rsidRPr="00717DD7">
                              <w:rPr>
                                <w:rFonts w:ascii="Arial" w:hAnsi="Arial" w:cs="Arial"/>
                                <w:b/>
                                <w:color w:val="FFFFFF" w:themeColor="background1"/>
                                <w:sz w:val="20"/>
                              </w:rPr>
                              <w:t xml:space="preserve">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6DC4" id="Text Box 9" o:spid="_x0000_s1029" type="#_x0000_t202" style="position:absolute;left:0;text-align:left;margin-left:110.2pt;margin-top:22.95pt;width:305.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" fillcolor="#002060" stroked="f" strokeweight=".5pt">
                <v:textbox>
                  <w:txbxContent>
                    <w:p w:rsidR="00AD420E" w:rsidRPr="00717DD7" w:rsidRDefault="00AD420E" w:rsidP="00AD420E">
                      <w:pPr>
                        <w:jc w:val="center"/>
                        <w:rPr>
                          <w:rFonts w:ascii="Arial" w:hAnsi="Arial" w:cs="Arial"/>
                          <w:b/>
                          <w:color w:val="FFFFFF" w:themeColor="background1"/>
                          <w:sz w:val="16"/>
                        </w:rPr>
                      </w:pPr>
                      <w:r>
                        <w:rPr>
                          <w:rFonts w:ascii="Arial" w:hAnsi="Arial" w:cs="Arial"/>
                          <w:b/>
                          <w:color w:val="FFFFFF" w:themeColor="background1"/>
                          <w:sz w:val="20"/>
                        </w:rPr>
                        <w:t>UCITS</w:t>
                      </w:r>
                      <w:r w:rsidRPr="00717DD7">
                        <w:rPr>
                          <w:rFonts w:ascii="Arial" w:hAnsi="Arial" w:cs="Arial"/>
                          <w:b/>
                          <w:color w:val="FFFFFF" w:themeColor="background1"/>
                          <w:sz w:val="20"/>
                        </w:rPr>
                        <w:t xml:space="preserve"> FUNDS</w:t>
                      </w:r>
                    </w:p>
                  </w:txbxContent>
                </v:textbox>
              </v:shape>
            </w:pict>
          </mc:Fallback>
        </mc:AlternateContent>
      </w:r>
      <w:r>
        <w:rPr>
          <w:b/>
          <w:bCs/>
          <w:noProof/>
          <w:sz w:val="28"/>
          <w:szCs w:val="28"/>
        </w:rPr>
        <mc:AlternateContent>
          <mc:Choice Requires="wps">
            <w:drawing>
              <wp:anchor distT="0" distB="0" distL="114300" distR="114300" simplePos="0" relativeHeight="251720704" behindDoc="0" locked="0" layoutInCell="1" allowOverlap="1" wp14:anchorId="50F10965" wp14:editId="4A0259F5">
                <wp:simplePos x="0" y="0"/>
                <wp:positionH relativeFrom="column">
                  <wp:posOffset>700405</wp:posOffset>
                </wp:positionH>
                <wp:positionV relativeFrom="paragraph">
                  <wp:posOffset>837565</wp:posOffset>
                </wp:positionV>
                <wp:extent cx="1590675" cy="3524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90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 xml:space="preserve">et Assets at </w:t>
                            </w:r>
                            <w:r w:rsidR="00662BB2">
                              <w:rPr>
                                <w:rFonts w:ascii="Arial" w:hAnsi="Arial" w:cs="Arial"/>
                                <w:b/>
                                <w:color w:val="002060"/>
                                <w:sz w:val="20"/>
                              </w:rPr>
                              <w:t>E</w:t>
                            </w:r>
                            <w:r w:rsidR="000A50A1">
                              <w:rPr>
                                <w:rFonts w:ascii="Arial" w:hAnsi="Arial" w:cs="Arial"/>
                                <w:b/>
                                <w:color w:val="002060"/>
                                <w:sz w:val="20"/>
                              </w:rPr>
                              <w:t>nd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0965" id="Text Box 40" o:spid="_x0000_s1030" type="#_x0000_t202" style="position:absolute;left:0;text-align:left;margin-left:55.15pt;margin-top:65.95pt;width:125.2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" filled="f" stroked="f" strokeweight=".5pt">
                <v:textbo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 xml:space="preserve">et Assets at </w:t>
                      </w:r>
                      <w:r w:rsidR="00662BB2">
                        <w:rPr>
                          <w:rFonts w:ascii="Arial" w:hAnsi="Arial" w:cs="Arial"/>
                          <w:b/>
                          <w:color w:val="002060"/>
                          <w:sz w:val="20"/>
                        </w:rPr>
                        <w:t>E</w:t>
                      </w:r>
                      <w:r w:rsidR="000A50A1">
                        <w:rPr>
                          <w:rFonts w:ascii="Arial" w:hAnsi="Arial" w:cs="Arial"/>
                          <w:b/>
                          <w:color w:val="002060"/>
                          <w:sz w:val="20"/>
                        </w:rPr>
                        <w:t>nd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v:textbox>
              </v:shape>
            </w:pict>
          </mc:Fallback>
        </mc:AlternateContent>
      </w:r>
      <w:r>
        <w:rPr>
          <w:b/>
          <w:bCs/>
          <w:noProof/>
          <w:sz w:val="28"/>
          <w:szCs w:val="28"/>
        </w:rPr>
        <mc:AlternateContent>
          <mc:Choice Requires="wps">
            <w:drawing>
              <wp:anchor distT="0" distB="0" distL="114300" distR="114300" simplePos="0" relativeHeight="251721728" behindDoc="0" locked="0" layoutInCell="1" allowOverlap="1" wp14:anchorId="5741E5EB" wp14:editId="161E4104">
                <wp:simplePos x="0" y="0"/>
                <wp:positionH relativeFrom="column">
                  <wp:posOffset>4231640</wp:posOffset>
                </wp:positionH>
                <wp:positionV relativeFrom="paragraph">
                  <wp:posOffset>837565</wp:posOffset>
                </wp:positionV>
                <wp:extent cx="1590675" cy="3524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590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et Sales in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E5EB" id="Text Box 43" o:spid="_x0000_s1031" type="#_x0000_t202" style="position:absolute;left:0;text-align:left;margin-left:333.2pt;margin-top:65.95pt;width:125.2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" filled="f" stroked="f" strokeweight=".5pt">
                <v:textbo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et Sales in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v:textbox>
              </v:shape>
            </w:pict>
          </mc:Fallback>
        </mc:AlternateContent>
      </w:r>
      <w:r>
        <w:rPr>
          <w:b/>
          <w:bCs/>
          <w:noProof/>
          <w:sz w:val="28"/>
          <w:szCs w:val="28"/>
        </w:rPr>
        <mc:AlternateContent>
          <mc:Choice Requires="wps">
            <w:drawing>
              <wp:anchor distT="0" distB="0" distL="114300" distR="114300" simplePos="0" relativeHeight="251724800" behindDoc="0" locked="0" layoutInCell="1" allowOverlap="1" wp14:anchorId="21B0E55C" wp14:editId="1A5BC906">
                <wp:simplePos x="0" y="0"/>
                <wp:positionH relativeFrom="column">
                  <wp:posOffset>558800</wp:posOffset>
                </wp:positionH>
                <wp:positionV relativeFrom="paragraph">
                  <wp:posOffset>4926965</wp:posOffset>
                </wp:positionV>
                <wp:extent cx="1590675" cy="352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90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 xml:space="preserve">et Assets at </w:t>
                            </w:r>
                            <w:r w:rsidR="00662BB2">
                              <w:rPr>
                                <w:rFonts w:ascii="Arial" w:hAnsi="Arial" w:cs="Arial"/>
                                <w:b/>
                                <w:color w:val="002060"/>
                                <w:sz w:val="20"/>
                              </w:rPr>
                              <w:t>E</w:t>
                            </w:r>
                            <w:r w:rsidR="000A50A1">
                              <w:rPr>
                                <w:rFonts w:ascii="Arial" w:hAnsi="Arial" w:cs="Arial"/>
                                <w:b/>
                                <w:color w:val="002060"/>
                                <w:sz w:val="20"/>
                              </w:rPr>
                              <w:t>nd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E55C" id="Text Box 14" o:spid="_x0000_s1032" type="#_x0000_t202" style="position:absolute;left:0;text-align:left;margin-left:44pt;margin-top:387.95pt;width:125.2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" filled="f" stroked="f" strokeweight=".5pt">
                <v:textbo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 xml:space="preserve">et Assets at </w:t>
                      </w:r>
                      <w:r w:rsidR="00662BB2">
                        <w:rPr>
                          <w:rFonts w:ascii="Arial" w:hAnsi="Arial" w:cs="Arial"/>
                          <w:b/>
                          <w:color w:val="002060"/>
                          <w:sz w:val="20"/>
                        </w:rPr>
                        <w:t>E</w:t>
                      </w:r>
                      <w:r w:rsidR="000A50A1">
                        <w:rPr>
                          <w:rFonts w:ascii="Arial" w:hAnsi="Arial" w:cs="Arial"/>
                          <w:b/>
                          <w:color w:val="002060"/>
                          <w:sz w:val="20"/>
                        </w:rPr>
                        <w:t>nd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v:textbox>
              </v:shape>
            </w:pict>
          </mc:Fallback>
        </mc:AlternateContent>
      </w:r>
      <w:r>
        <w:rPr>
          <w:b/>
          <w:bCs/>
          <w:noProof/>
          <w:sz w:val="28"/>
          <w:szCs w:val="28"/>
        </w:rPr>
        <mc:AlternateContent>
          <mc:Choice Requires="wps">
            <w:drawing>
              <wp:anchor distT="0" distB="0" distL="114300" distR="114300" simplePos="0" relativeHeight="251725824" behindDoc="0" locked="0" layoutInCell="1" allowOverlap="1" wp14:anchorId="4E3BB369" wp14:editId="635EA0E1">
                <wp:simplePos x="0" y="0"/>
                <wp:positionH relativeFrom="column">
                  <wp:posOffset>4089400</wp:posOffset>
                </wp:positionH>
                <wp:positionV relativeFrom="paragraph">
                  <wp:posOffset>4926965</wp:posOffset>
                </wp:positionV>
                <wp:extent cx="1590675" cy="3524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90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et Sales in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B369" id="Text Box 18" o:spid="_x0000_s1033" type="#_x0000_t202" style="position:absolute;left:0;text-align:left;margin-left:322pt;margin-top:387.95pt;width:125.2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wfwIAAGs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" filled="f" stroked="f" strokeweight=".5pt">
                <v:textbox>
                  <w:txbxContent>
                    <w:p w:rsidR="00AD420E" w:rsidRPr="004E6EDE" w:rsidRDefault="00AD420E" w:rsidP="00AD420E">
                      <w:pPr>
                        <w:jc w:val="center"/>
                        <w:rPr>
                          <w:rFonts w:ascii="Arial" w:hAnsi="Arial" w:cs="Arial"/>
                          <w:b/>
                          <w:color w:val="002060"/>
                          <w:sz w:val="20"/>
                        </w:rPr>
                      </w:pPr>
                      <w:r>
                        <w:rPr>
                          <w:rFonts w:ascii="Arial" w:hAnsi="Arial" w:cs="Arial"/>
                          <w:b/>
                          <w:color w:val="002060"/>
                          <w:sz w:val="20"/>
                        </w:rPr>
                        <w:t>N</w:t>
                      </w:r>
                      <w:r w:rsidR="000A50A1">
                        <w:rPr>
                          <w:rFonts w:ascii="Arial" w:hAnsi="Arial" w:cs="Arial"/>
                          <w:b/>
                          <w:color w:val="002060"/>
                          <w:sz w:val="20"/>
                        </w:rPr>
                        <w:t>et Sales in 2017</w:t>
                      </w:r>
                    </w:p>
                    <w:p w:rsidR="00AD420E" w:rsidRPr="004E6EDE" w:rsidRDefault="00AD420E" w:rsidP="00AD420E">
                      <w:pPr>
                        <w:jc w:val="center"/>
                        <w:rPr>
                          <w:rFonts w:ascii="Arial" w:hAnsi="Arial" w:cs="Arial"/>
                          <w:b/>
                          <w:color w:val="002060"/>
                          <w:sz w:val="16"/>
                        </w:rPr>
                      </w:pPr>
                      <w:r w:rsidRPr="004E6EDE">
                        <w:rPr>
                          <w:rFonts w:ascii="Arial" w:hAnsi="Arial" w:cs="Arial"/>
                          <w:b/>
                          <w:color w:val="002060"/>
                          <w:sz w:val="16"/>
                        </w:rPr>
                        <w:t>(EUR billion)</w:t>
                      </w:r>
                    </w:p>
                  </w:txbxContent>
                </v:textbox>
              </v:shape>
            </w:pict>
          </mc:Fallback>
        </mc:AlternateContent>
      </w:r>
      <w:r>
        <w:rPr>
          <w:b/>
          <w:bCs/>
          <w:noProof/>
          <w:sz w:val="28"/>
          <w:szCs w:val="28"/>
        </w:rPr>
        <mc:AlternateContent>
          <mc:Choice Requires="wps">
            <w:drawing>
              <wp:anchor distT="0" distB="0" distL="114300" distR="114300" simplePos="0" relativeHeight="251726848" behindDoc="0" locked="0" layoutInCell="1" allowOverlap="1" wp14:anchorId="404EBA7E" wp14:editId="27555D0D">
                <wp:simplePos x="0" y="0"/>
                <wp:positionH relativeFrom="column">
                  <wp:posOffset>1300262</wp:posOffset>
                </wp:positionH>
                <wp:positionV relativeFrom="paragraph">
                  <wp:posOffset>4392295</wp:posOffset>
                </wp:positionV>
                <wp:extent cx="3879850" cy="276225"/>
                <wp:effectExtent l="0" t="0" r="6350" b="9525"/>
                <wp:wrapNone/>
                <wp:docPr id="20" name="Text Box 20"/>
                <wp:cNvGraphicFramePr/>
                <a:graphic xmlns:a="http://schemas.openxmlformats.org/drawingml/2006/main">
                  <a:graphicData uri="http://schemas.microsoft.com/office/word/2010/wordprocessingShape">
                    <wps:wsp>
                      <wps:cNvSpPr txBox="1"/>
                      <wps:spPr>
                        <a:xfrm>
                          <a:off x="0" y="0"/>
                          <a:ext cx="3879850" cy="27622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420E" w:rsidRPr="00717DD7" w:rsidRDefault="00AD420E" w:rsidP="00AD420E">
                            <w:pPr>
                              <w:jc w:val="center"/>
                              <w:rPr>
                                <w:rFonts w:ascii="Arial" w:hAnsi="Arial" w:cs="Arial"/>
                                <w:b/>
                                <w:color w:val="FFFFFF" w:themeColor="background1"/>
                                <w:sz w:val="16"/>
                              </w:rPr>
                            </w:pPr>
                            <w:r w:rsidRPr="00717DD7">
                              <w:rPr>
                                <w:rFonts w:ascii="Arial" w:hAnsi="Arial" w:cs="Arial"/>
                                <w:b/>
                                <w:color w:val="FFFFFF" w:themeColor="background1"/>
                                <w:sz w:val="20"/>
                              </w:rPr>
                              <w:t>AIF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BA7E" id="Text Box 20" o:spid="_x0000_s1034" type="#_x0000_t202" style="position:absolute;left:0;text-align:left;margin-left:102.4pt;margin-top:345.85pt;width:305.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" fillcolor="#002060" stroked="f" strokeweight=".5pt">
                <v:textbox>
                  <w:txbxContent>
                    <w:p w:rsidR="00AD420E" w:rsidRPr="00717DD7" w:rsidRDefault="00AD420E" w:rsidP="00AD420E">
                      <w:pPr>
                        <w:jc w:val="center"/>
                        <w:rPr>
                          <w:rFonts w:ascii="Arial" w:hAnsi="Arial" w:cs="Arial"/>
                          <w:b/>
                          <w:color w:val="FFFFFF" w:themeColor="background1"/>
                          <w:sz w:val="16"/>
                        </w:rPr>
                      </w:pPr>
                      <w:r w:rsidRPr="00717DD7">
                        <w:rPr>
                          <w:rFonts w:ascii="Arial" w:hAnsi="Arial" w:cs="Arial"/>
                          <w:b/>
                          <w:color w:val="FFFFFF" w:themeColor="background1"/>
                          <w:sz w:val="20"/>
                        </w:rPr>
                        <w:t>AIF FUNDS</w:t>
                      </w:r>
                    </w:p>
                  </w:txbxContent>
                </v:textbox>
              </v:shape>
            </w:pict>
          </mc:Fallback>
        </mc:AlternateContent>
      </w: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4F166A" w:rsidP="00AD420E">
      <w:pPr>
        <w:rPr>
          <w:sz w:val="28"/>
          <w:szCs w:val="28"/>
        </w:rPr>
      </w:pPr>
      <w:r>
        <w:rPr>
          <w:noProof/>
          <w:sz w:val="28"/>
          <w:szCs w:val="28"/>
        </w:rPr>
        <w:drawing>
          <wp:anchor distT="0" distB="0" distL="114300" distR="114300" simplePos="0" relativeHeight="251806720" behindDoc="0" locked="0" layoutInCell="1" allowOverlap="1" wp14:anchorId="5D38BFDA">
            <wp:simplePos x="0" y="0"/>
            <wp:positionH relativeFrom="column">
              <wp:posOffset>3482671</wp:posOffset>
            </wp:positionH>
            <wp:positionV relativeFrom="paragraph">
              <wp:posOffset>48867</wp:posOffset>
            </wp:positionV>
            <wp:extent cx="2908800" cy="2437200"/>
            <wp:effectExtent l="0" t="0" r="635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8800" cy="2437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0" locked="0" layoutInCell="1" allowOverlap="1" wp14:anchorId="60B32B3C">
            <wp:simplePos x="0" y="0"/>
            <wp:positionH relativeFrom="column">
              <wp:posOffset>111318</wp:posOffset>
            </wp:positionH>
            <wp:positionV relativeFrom="paragraph">
              <wp:posOffset>43180</wp:posOffset>
            </wp:positionV>
            <wp:extent cx="2908800" cy="2437200"/>
            <wp:effectExtent l="0" t="0" r="635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800" cy="2437200"/>
                    </a:xfrm>
                    <a:prstGeom prst="rect">
                      <a:avLst/>
                    </a:prstGeom>
                    <a:noFill/>
                  </pic:spPr>
                </pic:pic>
              </a:graphicData>
            </a:graphic>
            <wp14:sizeRelH relativeFrom="page">
              <wp14:pctWidth>0</wp14:pctWidth>
            </wp14:sizeRelH>
            <wp14:sizeRelV relativeFrom="page">
              <wp14:pctHeight>0</wp14:pctHeight>
            </wp14:sizeRelV>
          </wp:anchor>
        </w:drawing>
      </w: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7455B5" w:rsidP="00AD420E">
      <w:pPr>
        <w:rPr>
          <w:sz w:val="28"/>
          <w:szCs w:val="28"/>
        </w:rPr>
      </w:pPr>
      <w:r>
        <w:rPr>
          <w:noProof/>
          <w:sz w:val="28"/>
          <w:szCs w:val="28"/>
        </w:rPr>
        <w:drawing>
          <wp:anchor distT="0" distB="0" distL="114300" distR="114300" simplePos="0" relativeHeight="251749376" behindDoc="0" locked="0" layoutInCell="1" allowOverlap="1" wp14:anchorId="1E3E52D6">
            <wp:simplePos x="0" y="0"/>
            <wp:positionH relativeFrom="column">
              <wp:posOffset>3485071</wp:posOffset>
            </wp:positionH>
            <wp:positionV relativeFrom="page">
              <wp:posOffset>6796155</wp:posOffset>
            </wp:positionV>
            <wp:extent cx="2908800" cy="2437200"/>
            <wp:effectExtent l="0" t="0" r="635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800" cy="2437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0" locked="0" layoutInCell="1" allowOverlap="1" wp14:anchorId="2F748966">
            <wp:simplePos x="0" y="0"/>
            <wp:positionH relativeFrom="column">
              <wp:posOffset>112143</wp:posOffset>
            </wp:positionH>
            <wp:positionV relativeFrom="page">
              <wp:posOffset>6801642</wp:posOffset>
            </wp:positionV>
            <wp:extent cx="2908800" cy="2437200"/>
            <wp:effectExtent l="0" t="0" r="635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800" cy="2437200"/>
                    </a:xfrm>
                    <a:prstGeom prst="rect">
                      <a:avLst/>
                    </a:prstGeom>
                    <a:noFill/>
                  </pic:spPr>
                </pic:pic>
              </a:graphicData>
            </a:graphic>
            <wp14:sizeRelH relativeFrom="page">
              <wp14:pctWidth>0</wp14:pctWidth>
            </wp14:sizeRelH>
            <wp14:sizeRelV relativeFrom="page">
              <wp14:pctHeight>0</wp14:pctHeight>
            </wp14:sizeRelV>
          </wp:anchor>
        </w:drawing>
      </w: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Pr="006D4966" w:rsidRDefault="00AD420E" w:rsidP="00AD420E">
      <w:pPr>
        <w:rPr>
          <w:sz w:val="28"/>
          <w:szCs w:val="28"/>
        </w:rPr>
      </w:pPr>
    </w:p>
    <w:p w:rsidR="00AD420E" w:rsidRDefault="00AD420E" w:rsidP="00AD420E">
      <w:pPr>
        <w:autoSpaceDE/>
        <w:autoSpaceDN/>
        <w:jc w:val="center"/>
        <w:rPr>
          <w:sz w:val="28"/>
          <w:szCs w:val="28"/>
        </w:rPr>
      </w:pPr>
    </w:p>
    <w:p w:rsidR="00AD420E" w:rsidRDefault="00AD420E" w:rsidP="00AD420E">
      <w:pPr>
        <w:autoSpaceDE/>
        <w:autoSpaceDN/>
        <w:jc w:val="center"/>
        <w:rPr>
          <w:sz w:val="28"/>
          <w:szCs w:val="28"/>
        </w:rPr>
      </w:pPr>
    </w:p>
    <w:p w:rsidR="00AD420E" w:rsidRDefault="00AD420E" w:rsidP="00AD420E">
      <w:pPr>
        <w:tabs>
          <w:tab w:val="left" w:pos="3650"/>
        </w:tabs>
        <w:autoSpaceDE/>
        <w:autoSpaceDN/>
        <w:rPr>
          <w:sz w:val="28"/>
          <w:szCs w:val="28"/>
        </w:rPr>
      </w:pPr>
      <w:r>
        <w:rPr>
          <w:sz w:val="28"/>
          <w:szCs w:val="28"/>
        </w:rPr>
        <w:tab/>
      </w:r>
    </w:p>
    <w:p w:rsidR="00AD420E" w:rsidRDefault="00AD420E" w:rsidP="00AD420E">
      <w:pPr>
        <w:autoSpaceDE/>
        <w:autoSpaceDN/>
        <w:rPr>
          <w:b/>
          <w:bCs/>
          <w:sz w:val="28"/>
          <w:szCs w:val="28"/>
          <w14:shadow w14:blurRad="50800" w14:dist="38100" w14:dir="2700000" w14:sx="100000" w14:sy="100000" w14:kx="0" w14:ky="0" w14:algn="tl">
            <w14:srgbClr w14:val="000000">
              <w14:alpha w14:val="60000"/>
            </w14:srgbClr>
          </w14:shadow>
        </w:rPr>
      </w:pPr>
      <w:r w:rsidRPr="006D4966">
        <w:rPr>
          <w:sz w:val="28"/>
          <w:szCs w:val="28"/>
        </w:rPr>
        <w:br w:type="page"/>
      </w:r>
    </w:p>
    <w:p w:rsidR="001142A5" w:rsidRPr="004C7355" w:rsidRDefault="001142A5"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r w:rsidRPr="004C7355">
        <w:rPr>
          <w:b/>
          <w:bCs/>
          <w:sz w:val="28"/>
          <w:szCs w:val="28"/>
          <w:lang w:val="en-US"/>
          <w14:shadow w14:blurRad="50800" w14:dist="38100" w14:dir="2700000" w14:sx="100000" w14:sy="100000" w14:kx="0" w14:ky="0" w14:algn="tl">
            <w14:srgbClr w14:val="000000">
              <w14:alpha w14:val="60000"/>
            </w14:srgbClr>
          </w14:shadow>
        </w:rPr>
        <w:lastRenderedPageBreak/>
        <w:t>Trends in the UCITS Market</w:t>
      </w:r>
    </w:p>
    <w:p w:rsidR="001142A5" w:rsidRPr="004C7355" w:rsidRDefault="001142A5" w:rsidP="001142A5">
      <w:pPr>
        <w:pStyle w:val="Footer"/>
        <w:jc w:val="center"/>
        <w:outlineLvl w:val="0"/>
        <w:rPr>
          <w:b/>
          <w:bCs/>
          <w:i/>
          <w:iCs/>
          <w:sz w:val="28"/>
          <w:szCs w:val="28"/>
          <w:lang w:val="en-US"/>
          <w14:shadow w14:blurRad="50800" w14:dist="38100" w14:dir="2700000" w14:sx="100000" w14:sy="100000" w14:kx="0" w14:ky="0" w14:algn="tl">
            <w14:srgbClr w14:val="000000">
              <w14:alpha w14:val="60000"/>
            </w14:srgbClr>
          </w14:shadow>
        </w:rPr>
      </w:pPr>
      <w:r w:rsidRPr="004C7355">
        <w:rPr>
          <w:b/>
          <w:bCs/>
          <w:i/>
          <w:iCs/>
          <w:sz w:val="28"/>
          <w:szCs w:val="28"/>
          <w:lang w:val="en-US"/>
          <w14:shadow w14:blurRad="50800" w14:dist="38100" w14:dir="2700000" w14:sx="100000" w14:sy="100000" w14:kx="0" w14:ky="0" w14:algn="tl">
            <w14:srgbClr w14:val="000000">
              <w14:alpha w14:val="60000"/>
            </w14:srgbClr>
          </w14:shadow>
        </w:rPr>
        <w:t>Net Sales by Investment Type</w:t>
      </w:r>
    </w:p>
    <w:p w:rsidR="001142A5" w:rsidRDefault="001142A5" w:rsidP="001142A5">
      <w:pPr>
        <w:pStyle w:val="Footer"/>
        <w:tabs>
          <w:tab w:val="left" w:pos="720"/>
          <w:tab w:val="left" w:pos="4320"/>
        </w:tabs>
        <w:spacing w:line="260" w:lineRule="exact"/>
        <w:jc w:val="both"/>
        <w:rPr>
          <w:sz w:val="22"/>
          <w:szCs w:val="22"/>
          <w:lang w:val="en-US"/>
        </w:rPr>
      </w:pPr>
    </w:p>
    <w:p w:rsidR="00121780" w:rsidRPr="00121780" w:rsidRDefault="001142A5" w:rsidP="00121780">
      <w:pPr>
        <w:spacing w:line="260" w:lineRule="exact"/>
        <w:jc w:val="both"/>
        <w:rPr>
          <w:b/>
          <w:color w:val="0000FF"/>
          <w:sz w:val="22"/>
          <w:szCs w:val="22"/>
          <w:lang w:eastAsia="fr-FR"/>
        </w:rPr>
      </w:pPr>
      <w:r w:rsidRPr="00121780">
        <w:rPr>
          <w:b/>
          <w:color w:val="0000FF"/>
          <w:sz w:val="22"/>
          <w:szCs w:val="22"/>
          <w:lang w:eastAsia="fr-FR"/>
        </w:rPr>
        <w:t>UCITS</w:t>
      </w:r>
      <w:r w:rsidR="00537E5C" w:rsidRPr="00121780">
        <w:rPr>
          <w:b/>
          <w:color w:val="0000FF"/>
          <w:sz w:val="22"/>
          <w:szCs w:val="22"/>
          <w:lang w:eastAsia="fr-FR"/>
        </w:rPr>
        <w:t xml:space="preserve"> recorded net sale</w:t>
      </w:r>
      <w:r w:rsidR="00C2527A">
        <w:rPr>
          <w:b/>
          <w:color w:val="0000FF"/>
          <w:sz w:val="22"/>
          <w:szCs w:val="22"/>
          <w:lang w:eastAsia="fr-FR"/>
        </w:rPr>
        <w:t xml:space="preserve">s of EUR 170 </w:t>
      </w:r>
      <w:r w:rsidRPr="00121780">
        <w:rPr>
          <w:b/>
          <w:color w:val="0000FF"/>
          <w:sz w:val="22"/>
          <w:szCs w:val="22"/>
          <w:lang w:eastAsia="fr-FR"/>
        </w:rPr>
        <w:t xml:space="preserve">billion </w:t>
      </w:r>
      <w:r w:rsidR="00C2527A">
        <w:rPr>
          <w:b/>
          <w:color w:val="0000FF"/>
          <w:sz w:val="22"/>
          <w:szCs w:val="22"/>
          <w:lang w:eastAsia="fr-FR"/>
        </w:rPr>
        <w:t>in</w:t>
      </w:r>
      <w:r w:rsidRPr="00121780">
        <w:rPr>
          <w:b/>
          <w:color w:val="0000FF"/>
          <w:sz w:val="22"/>
          <w:szCs w:val="22"/>
          <w:lang w:eastAsia="fr-FR"/>
        </w:rPr>
        <w:t xml:space="preserve"> </w:t>
      </w:r>
      <w:r w:rsidR="000D2165">
        <w:rPr>
          <w:b/>
          <w:color w:val="0000FF"/>
          <w:sz w:val="22"/>
          <w:szCs w:val="22"/>
          <w:lang w:eastAsia="fr-FR"/>
        </w:rPr>
        <w:t>Q4 2017</w:t>
      </w:r>
      <w:r w:rsidR="00C2527A">
        <w:rPr>
          <w:b/>
          <w:color w:val="0000FF"/>
          <w:sz w:val="22"/>
          <w:szCs w:val="22"/>
          <w:lang w:eastAsia="fr-FR"/>
        </w:rPr>
        <w:t>, compared to EUR 191</w:t>
      </w:r>
      <w:r w:rsidRPr="00121780">
        <w:rPr>
          <w:b/>
          <w:color w:val="0000FF"/>
          <w:sz w:val="22"/>
          <w:szCs w:val="22"/>
          <w:lang w:eastAsia="fr-FR"/>
        </w:rPr>
        <w:t xml:space="preserve"> billion in the </w:t>
      </w:r>
      <w:r w:rsidR="00FD4A0B">
        <w:rPr>
          <w:b/>
          <w:color w:val="0000FF"/>
          <w:sz w:val="22"/>
          <w:szCs w:val="22"/>
          <w:lang w:eastAsia="fr-FR"/>
        </w:rPr>
        <w:t>third</w:t>
      </w:r>
      <w:r w:rsidRPr="00121780">
        <w:rPr>
          <w:b/>
          <w:color w:val="0000FF"/>
          <w:sz w:val="22"/>
          <w:szCs w:val="22"/>
          <w:lang w:eastAsia="fr-FR"/>
        </w:rPr>
        <w:t xml:space="preserve"> quarter of 2017.</w:t>
      </w:r>
      <w:r w:rsidR="00AC5AAD" w:rsidRPr="00121780">
        <w:rPr>
          <w:b/>
          <w:color w:val="0000FF"/>
          <w:sz w:val="22"/>
          <w:szCs w:val="22"/>
          <w:lang w:eastAsia="fr-FR"/>
        </w:rPr>
        <w:t xml:space="preserve"> </w:t>
      </w:r>
      <w:r w:rsidR="00C2527A">
        <w:rPr>
          <w:b/>
          <w:color w:val="0000FF"/>
          <w:sz w:val="22"/>
          <w:szCs w:val="22"/>
          <w:lang w:eastAsia="fr-FR"/>
        </w:rPr>
        <w:t>In 2017</w:t>
      </w:r>
      <w:r w:rsidR="00121780" w:rsidRPr="00121780">
        <w:rPr>
          <w:b/>
          <w:color w:val="0000FF"/>
          <w:sz w:val="22"/>
          <w:szCs w:val="22"/>
          <w:lang w:eastAsia="fr-FR"/>
        </w:rPr>
        <w:t>, UCITS attracted</w:t>
      </w:r>
      <w:r w:rsidR="00C2527A">
        <w:rPr>
          <w:b/>
          <w:color w:val="0000FF"/>
          <w:sz w:val="22"/>
          <w:szCs w:val="22"/>
          <w:lang w:eastAsia="fr-FR"/>
        </w:rPr>
        <w:t xml:space="preserve"> cumulative net sales of EUR 738</w:t>
      </w:r>
      <w:r w:rsidR="00121780" w:rsidRPr="00121780">
        <w:rPr>
          <w:b/>
          <w:color w:val="0000FF"/>
          <w:sz w:val="22"/>
          <w:szCs w:val="22"/>
          <w:lang w:eastAsia="fr-FR"/>
        </w:rPr>
        <w:t xml:space="preserve"> billion, compare</w:t>
      </w:r>
      <w:r w:rsidR="00A91FB5">
        <w:rPr>
          <w:b/>
          <w:color w:val="0000FF"/>
          <w:sz w:val="22"/>
          <w:szCs w:val="22"/>
          <w:lang w:eastAsia="fr-FR"/>
        </w:rPr>
        <w:t>d to annual net sales of EUR 273</w:t>
      </w:r>
      <w:r w:rsidR="00121780" w:rsidRPr="00121780">
        <w:rPr>
          <w:b/>
          <w:color w:val="0000FF"/>
          <w:sz w:val="22"/>
          <w:szCs w:val="22"/>
          <w:lang w:eastAsia="fr-FR"/>
        </w:rPr>
        <w:t xml:space="preserve"> billion in 2016</w:t>
      </w:r>
      <w:r w:rsidR="00C2527A">
        <w:rPr>
          <w:b/>
          <w:color w:val="0000FF"/>
          <w:sz w:val="22"/>
          <w:szCs w:val="22"/>
          <w:lang w:eastAsia="fr-FR"/>
        </w:rPr>
        <w:t xml:space="preserve">. </w:t>
      </w:r>
    </w:p>
    <w:p w:rsidR="001142A5" w:rsidRDefault="001142A5" w:rsidP="001142A5">
      <w:pPr>
        <w:pStyle w:val="Footer"/>
        <w:tabs>
          <w:tab w:val="left" w:pos="720"/>
          <w:tab w:val="left" w:pos="4320"/>
        </w:tabs>
        <w:spacing w:line="260" w:lineRule="exact"/>
        <w:jc w:val="both"/>
        <w:rPr>
          <w:b/>
          <w:bCs/>
          <w:color w:val="0000FF"/>
          <w:sz w:val="22"/>
          <w:szCs w:val="22"/>
        </w:rPr>
      </w:pPr>
      <w:r>
        <w:rPr>
          <w:b/>
          <w:bCs/>
          <w:color w:val="0000FF"/>
          <w:sz w:val="22"/>
          <w:szCs w:val="22"/>
        </w:rPr>
        <w:t xml:space="preserve"> </w:t>
      </w:r>
    </w:p>
    <w:p w:rsidR="001142A5" w:rsidRDefault="001142A5" w:rsidP="001142A5">
      <w:pPr>
        <w:pStyle w:val="Footer"/>
        <w:tabs>
          <w:tab w:val="left" w:pos="720"/>
          <w:tab w:val="left" w:pos="4320"/>
        </w:tabs>
        <w:spacing w:line="260" w:lineRule="exact"/>
        <w:jc w:val="both"/>
        <w:rPr>
          <w:bCs/>
          <w:color w:val="000000"/>
          <w:sz w:val="22"/>
          <w:szCs w:val="22"/>
        </w:rPr>
      </w:pPr>
      <w:r w:rsidRPr="007D3A6C">
        <w:rPr>
          <w:bCs/>
          <w:color w:val="000000"/>
          <w:sz w:val="22"/>
          <w:szCs w:val="22"/>
        </w:rPr>
        <w:t xml:space="preserve">Long-term UCITS </w:t>
      </w:r>
      <w:r w:rsidR="00C2527A">
        <w:rPr>
          <w:bCs/>
          <w:color w:val="000000"/>
          <w:sz w:val="22"/>
          <w:szCs w:val="22"/>
        </w:rPr>
        <w:t>recorded net sales of EUR 172</w:t>
      </w:r>
      <w:r>
        <w:rPr>
          <w:bCs/>
          <w:color w:val="000000"/>
          <w:sz w:val="22"/>
          <w:szCs w:val="22"/>
        </w:rPr>
        <w:t xml:space="preserve"> billion in </w:t>
      </w:r>
      <w:r w:rsidR="000D2165">
        <w:rPr>
          <w:bCs/>
          <w:color w:val="000000"/>
          <w:sz w:val="22"/>
          <w:szCs w:val="22"/>
        </w:rPr>
        <w:t>Q4 2017</w:t>
      </w:r>
      <w:r w:rsidRPr="00A7353F">
        <w:rPr>
          <w:bCs/>
          <w:color w:val="000000"/>
          <w:sz w:val="22"/>
          <w:szCs w:val="22"/>
        </w:rPr>
        <w:t xml:space="preserve">, </w:t>
      </w:r>
      <w:r w:rsidR="00C2527A">
        <w:rPr>
          <w:bCs/>
          <w:color w:val="000000"/>
          <w:sz w:val="22"/>
          <w:szCs w:val="22"/>
        </w:rPr>
        <w:t>up from EUR 157</w:t>
      </w:r>
      <w:r w:rsidRPr="00A7353F">
        <w:rPr>
          <w:bCs/>
          <w:color w:val="000000"/>
          <w:sz w:val="22"/>
          <w:szCs w:val="22"/>
        </w:rPr>
        <w:t xml:space="preserve"> billion in </w:t>
      </w:r>
      <w:r w:rsidR="000D2165">
        <w:rPr>
          <w:bCs/>
          <w:color w:val="000000"/>
          <w:sz w:val="22"/>
          <w:szCs w:val="22"/>
        </w:rPr>
        <w:t>Q3 2017</w:t>
      </w:r>
      <w:r w:rsidRPr="00A7353F">
        <w:rPr>
          <w:bCs/>
          <w:color w:val="000000"/>
          <w:sz w:val="22"/>
          <w:szCs w:val="22"/>
        </w:rPr>
        <w:t xml:space="preserve">. </w:t>
      </w:r>
      <w:r>
        <w:rPr>
          <w:bCs/>
          <w:color w:val="000000"/>
          <w:sz w:val="22"/>
          <w:szCs w:val="22"/>
        </w:rPr>
        <w:t>Net sales o</w:t>
      </w:r>
      <w:r w:rsidR="00C2527A">
        <w:rPr>
          <w:bCs/>
          <w:color w:val="000000"/>
          <w:sz w:val="22"/>
          <w:szCs w:val="22"/>
        </w:rPr>
        <w:t>f equity funds amounted to EUR 56 billion, compared to EUR 39</w:t>
      </w:r>
      <w:r>
        <w:rPr>
          <w:bCs/>
          <w:color w:val="000000"/>
          <w:sz w:val="22"/>
          <w:szCs w:val="22"/>
        </w:rPr>
        <w:t xml:space="preserve"> billion in </w:t>
      </w:r>
      <w:r w:rsidR="000D2165">
        <w:rPr>
          <w:bCs/>
          <w:color w:val="000000"/>
          <w:sz w:val="22"/>
          <w:szCs w:val="22"/>
        </w:rPr>
        <w:t>Q3 2017</w:t>
      </w:r>
      <w:r>
        <w:rPr>
          <w:bCs/>
          <w:color w:val="000000"/>
          <w:sz w:val="22"/>
          <w:szCs w:val="22"/>
        </w:rPr>
        <w:t>. Ne</w:t>
      </w:r>
      <w:r w:rsidRPr="00A7353F">
        <w:rPr>
          <w:bCs/>
          <w:color w:val="000000"/>
          <w:sz w:val="22"/>
          <w:szCs w:val="22"/>
        </w:rPr>
        <w:t>t sales of multi-asset funds</w:t>
      </w:r>
      <w:r w:rsidR="00C2527A">
        <w:rPr>
          <w:bCs/>
          <w:color w:val="000000"/>
          <w:sz w:val="22"/>
          <w:szCs w:val="22"/>
        </w:rPr>
        <w:t xml:space="preserve"> increased from EUR 43</w:t>
      </w:r>
      <w:r>
        <w:rPr>
          <w:bCs/>
          <w:color w:val="000000"/>
          <w:sz w:val="22"/>
          <w:szCs w:val="22"/>
        </w:rPr>
        <w:t xml:space="preserve"> billion in </w:t>
      </w:r>
      <w:r w:rsidR="000D2165">
        <w:rPr>
          <w:bCs/>
          <w:color w:val="000000"/>
          <w:sz w:val="22"/>
          <w:szCs w:val="22"/>
        </w:rPr>
        <w:t>Q3 2017</w:t>
      </w:r>
      <w:r w:rsidR="00C2527A">
        <w:rPr>
          <w:bCs/>
          <w:color w:val="000000"/>
          <w:sz w:val="22"/>
          <w:szCs w:val="22"/>
        </w:rPr>
        <w:t xml:space="preserve"> to EUR 54</w:t>
      </w:r>
      <w:r>
        <w:rPr>
          <w:bCs/>
          <w:color w:val="000000"/>
          <w:sz w:val="22"/>
          <w:szCs w:val="22"/>
        </w:rPr>
        <w:t xml:space="preserve"> billion in </w:t>
      </w:r>
      <w:r w:rsidR="000D2165">
        <w:rPr>
          <w:bCs/>
          <w:color w:val="000000"/>
          <w:sz w:val="22"/>
          <w:szCs w:val="22"/>
        </w:rPr>
        <w:t>Q4 2017</w:t>
      </w:r>
      <w:r>
        <w:rPr>
          <w:bCs/>
          <w:color w:val="000000"/>
          <w:sz w:val="22"/>
          <w:szCs w:val="22"/>
        </w:rPr>
        <w:t xml:space="preserve">. </w:t>
      </w:r>
      <w:r w:rsidRPr="00A7353F">
        <w:rPr>
          <w:bCs/>
          <w:color w:val="000000"/>
          <w:sz w:val="22"/>
          <w:szCs w:val="22"/>
        </w:rPr>
        <w:t xml:space="preserve">Net sales of bond </w:t>
      </w:r>
      <w:r w:rsidR="00C2527A">
        <w:rPr>
          <w:bCs/>
          <w:color w:val="000000"/>
          <w:sz w:val="22"/>
          <w:szCs w:val="22"/>
        </w:rPr>
        <w:t>increased from EUR 72</w:t>
      </w:r>
      <w:r>
        <w:rPr>
          <w:bCs/>
          <w:color w:val="000000"/>
          <w:sz w:val="22"/>
          <w:szCs w:val="22"/>
        </w:rPr>
        <w:t xml:space="preserve"> billion in </w:t>
      </w:r>
      <w:r w:rsidR="00A91FB5">
        <w:rPr>
          <w:bCs/>
          <w:color w:val="000000"/>
          <w:sz w:val="22"/>
          <w:szCs w:val="22"/>
        </w:rPr>
        <w:t>Q3 2017</w:t>
      </w:r>
      <w:r w:rsidR="00C2527A">
        <w:rPr>
          <w:bCs/>
          <w:color w:val="000000"/>
          <w:sz w:val="22"/>
          <w:szCs w:val="22"/>
        </w:rPr>
        <w:t xml:space="preserve"> to EUR 75</w:t>
      </w:r>
      <w:r>
        <w:rPr>
          <w:bCs/>
          <w:color w:val="000000"/>
          <w:sz w:val="22"/>
          <w:szCs w:val="22"/>
        </w:rPr>
        <w:t xml:space="preserve"> billion in </w:t>
      </w:r>
      <w:r w:rsidR="000D2165">
        <w:rPr>
          <w:bCs/>
          <w:color w:val="000000"/>
          <w:sz w:val="22"/>
          <w:szCs w:val="22"/>
        </w:rPr>
        <w:t>Q4 2017</w:t>
      </w:r>
      <w:r>
        <w:rPr>
          <w:bCs/>
          <w:color w:val="000000"/>
          <w:sz w:val="22"/>
          <w:szCs w:val="22"/>
        </w:rPr>
        <w:t xml:space="preserve">. </w:t>
      </w:r>
      <w:r w:rsidR="00C2527A">
        <w:rPr>
          <w:bCs/>
          <w:color w:val="000000"/>
          <w:sz w:val="22"/>
          <w:szCs w:val="22"/>
        </w:rPr>
        <w:t xml:space="preserve">Reflecting </w:t>
      </w:r>
      <w:r w:rsidR="004F166A">
        <w:rPr>
          <w:bCs/>
          <w:color w:val="000000"/>
          <w:sz w:val="22"/>
          <w:szCs w:val="22"/>
        </w:rPr>
        <w:t xml:space="preserve">cyclical </w:t>
      </w:r>
      <w:r w:rsidR="00C2527A">
        <w:rPr>
          <w:bCs/>
          <w:color w:val="000000"/>
          <w:sz w:val="22"/>
          <w:szCs w:val="22"/>
        </w:rPr>
        <w:t xml:space="preserve">end-of-year withdrawals from French money market funds, net sales </w:t>
      </w:r>
      <w:r w:rsidR="00A91FB5">
        <w:rPr>
          <w:bCs/>
          <w:color w:val="000000"/>
          <w:sz w:val="22"/>
          <w:szCs w:val="22"/>
        </w:rPr>
        <w:t>of total European money market reversed</w:t>
      </w:r>
      <w:r w:rsidR="00C2527A">
        <w:rPr>
          <w:bCs/>
          <w:color w:val="000000"/>
          <w:sz w:val="22"/>
          <w:szCs w:val="22"/>
        </w:rPr>
        <w:t xml:space="preserve"> from </w:t>
      </w:r>
      <w:r w:rsidR="004F166A">
        <w:rPr>
          <w:bCs/>
          <w:color w:val="000000"/>
          <w:sz w:val="22"/>
          <w:szCs w:val="22"/>
        </w:rPr>
        <w:t xml:space="preserve">net </w:t>
      </w:r>
      <w:r w:rsidR="00C2527A">
        <w:rPr>
          <w:bCs/>
          <w:color w:val="000000"/>
          <w:sz w:val="22"/>
          <w:szCs w:val="22"/>
        </w:rPr>
        <w:t>inflows of EUR 33 billion in Q3 2017 to net outflows of EUR 3 billion in Q4 2017.</w:t>
      </w:r>
    </w:p>
    <w:p w:rsidR="001142A5" w:rsidRDefault="001142A5" w:rsidP="001142A5">
      <w:pPr>
        <w:pStyle w:val="Footer"/>
        <w:tabs>
          <w:tab w:val="left" w:pos="720"/>
          <w:tab w:val="left" w:pos="4320"/>
        </w:tabs>
        <w:spacing w:line="260" w:lineRule="exact"/>
        <w:jc w:val="both"/>
        <w:rPr>
          <w:bCs/>
          <w:color w:val="000000"/>
          <w:sz w:val="22"/>
          <w:szCs w:val="22"/>
        </w:rPr>
      </w:pPr>
    </w:p>
    <w:p w:rsidR="001142A5" w:rsidRPr="00955553" w:rsidRDefault="00D60652" w:rsidP="001142A5">
      <w:pPr>
        <w:pStyle w:val="Footer"/>
        <w:tabs>
          <w:tab w:val="left" w:pos="720"/>
          <w:tab w:val="left" w:pos="4320"/>
        </w:tabs>
        <w:spacing w:line="260" w:lineRule="exact"/>
        <w:jc w:val="right"/>
        <w:rPr>
          <w:bCs/>
          <w:color w:val="000000"/>
          <w:sz w:val="22"/>
          <w:szCs w:val="22"/>
        </w:rPr>
      </w:pPr>
      <w:r>
        <w:rPr>
          <w:noProof/>
          <w:lang w:val="en-US"/>
        </w:rPr>
        <w:drawing>
          <wp:anchor distT="0" distB="0" distL="114300" distR="114300" simplePos="0" relativeHeight="251751424" behindDoc="0" locked="0" layoutInCell="1" allowOverlap="1" wp14:anchorId="3013000A">
            <wp:simplePos x="0" y="0"/>
            <wp:positionH relativeFrom="column">
              <wp:posOffset>3375330</wp:posOffset>
            </wp:positionH>
            <wp:positionV relativeFrom="paragraph">
              <wp:posOffset>80010</wp:posOffset>
            </wp:positionV>
            <wp:extent cx="3430800" cy="2088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0800" cy="2088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0400" behindDoc="0" locked="0" layoutInCell="1" allowOverlap="1" wp14:anchorId="17808F87">
            <wp:simplePos x="0" y="0"/>
            <wp:positionH relativeFrom="column">
              <wp:posOffset>-163901</wp:posOffset>
            </wp:positionH>
            <wp:positionV relativeFrom="paragraph">
              <wp:posOffset>75684</wp:posOffset>
            </wp:positionV>
            <wp:extent cx="3430800" cy="2088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0800" cy="2088000"/>
                    </a:xfrm>
                    <a:prstGeom prst="rect">
                      <a:avLst/>
                    </a:prstGeom>
                    <a:noFill/>
                  </pic:spPr>
                </pic:pic>
              </a:graphicData>
            </a:graphic>
            <wp14:sizeRelH relativeFrom="page">
              <wp14:pctWidth>0</wp14:pctWidth>
            </wp14:sizeRelH>
            <wp14:sizeRelV relativeFrom="page">
              <wp14:pctHeight>0</wp14:pctHeight>
            </wp14:sizeRelV>
          </wp:anchor>
        </w:drawing>
      </w:r>
    </w:p>
    <w:p w:rsidR="001142A5" w:rsidRPr="004C7355" w:rsidRDefault="001142A5" w:rsidP="001142A5">
      <w:pPr>
        <w:pStyle w:val="Footer"/>
        <w:jc w:val="center"/>
        <w:rPr>
          <w:b/>
          <w:bCs/>
          <w:iCs/>
          <w:sz w:val="28"/>
          <w:szCs w:val="28"/>
          <w:lang w:val="en-US"/>
          <w14:shadow w14:blurRad="50800" w14:dist="38100" w14:dir="2700000" w14:sx="100000" w14:sy="100000" w14:kx="0" w14:ky="0" w14:algn="tl">
            <w14:srgbClr w14:val="000000">
              <w14:alpha w14:val="60000"/>
            </w14:srgbClr>
          </w14:shadow>
        </w:rPr>
      </w:pPr>
    </w:p>
    <w:p w:rsidR="001142A5" w:rsidRPr="004C7355" w:rsidRDefault="001142A5" w:rsidP="001142A5">
      <w:pPr>
        <w:pStyle w:val="Footer"/>
        <w:jc w:val="center"/>
        <w:outlineLvl w:val="0"/>
        <w:rPr>
          <w:b/>
          <w:bCs/>
          <w:iCs/>
          <w:sz w:val="28"/>
          <w:szCs w:val="28"/>
          <w:lang w:val="en-US"/>
          <w14:shadow w14:blurRad="50800" w14:dist="38100" w14:dir="2700000" w14:sx="100000" w14:sy="100000" w14:kx="0" w14:ky="0" w14:algn="tl">
            <w14:srgbClr w14:val="000000">
              <w14:alpha w14:val="60000"/>
            </w14:srgbClr>
          </w14:shadow>
        </w:rPr>
      </w:pPr>
    </w:p>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D60652" w:rsidP="001142A5">
      <w:r>
        <w:rPr>
          <w:noProof/>
        </w:rPr>
        <w:drawing>
          <wp:anchor distT="0" distB="0" distL="114300" distR="114300" simplePos="0" relativeHeight="251753472" behindDoc="0" locked="0" layoutInCell="1" allowOverlap="1" wp14:anchorId="167B35C5">
            <wp:simplePos x="0" y="0"/>
            <wp:positionH relativeFrom="column">
              <wp:posOffset>3483280</wp:posOffset>
            </wp:positionH>
            <wp:positionV relativeFrom="page">
              <wp:posOffset>5402580</wp:posOffset>
            </wp:positionV>
            <wp:extent cx="3078000" cy="208800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000" cy="208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2B215D75">
            <wp:simplePos x="0" y="0"/>
            <wp:positionH relativeFrom="column">
              <wp:posOffset>22</wp:posOffset>
            </wp:positionH>
            <wp:positionV relativeFrom="page">
              <wp:posOffset>5403179</wp:posOffset>
            </wp:positionV>
            <wp:extent cx="3078000" cy="2088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8000" cy="2088000"/>
                    </a:xfrm>
                    <a:prstGeom prst="rect">
                      <a:avLst/>
                    </a:prstGeom>
                    <a:noFill/>
                  </pic:spPr>
                </pic:pic>
              </a:graphicData>
            </a:graphic>
            <wp14:sizeRelH relativeFrom="page">
              <wp14:pctWidth>0</wp14:pctWidth>
            </wp14:sizeRelH>
            <wp14:sizeRelV relativeFrom="page">
              <wp14:pctHeight>0</wp14:pctHeight>
            </wp14:sizeRelV>
          </wp:anchor>
        </w:drawing>
      </w:r>
    </w:p>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Pr="009F698C" w:rsidRDefault="001142A5" w:rsidP="001142A5"/>
    <w:p w:rsidR="001142A5" w:rsidRDefault="001142A5" w:rsidP="001142A5">
      <w:pPr>
        <w:pStyle w:val="Footer"/>
        <w:jc w:val="center"/>
        <w:outlineLvl w:val="0"/>
      </w:pPr>
    </w:p>
    <w:p w:rsidR="001142A5" w:rsidRDefault="001142A5" w:rsidP="001142A5">
      <w:pPr>
        <w:pStyle w:val="Footer"/>
        <w:jc w:val="center"/>
        <w:outlineLvl w:val="0"/>
      </w:pPr>
    </w:p>
    <w:p w:rsidR="001142A5" w:rsidRDefault="001142A5" w:rsidP="001142A5">
      <w:pPr>
        <w:pStyle w:val="Footer"/>
        <w:tabs>
          <w:tab w:val="clear" w:pos="8640"/>
          <w:tab w:val="left" w:pos="5040"/>
          <w:tab w:val="left" w:pos="5760"/>
          <w:tab w:val="left" w:pos="6480"/>
          <w:tab w:val="left" w:pos="7200"/>
        </w:tabs>
        <w:outlineLvl w:val="0"/>
      </w:pPr>
      <w:r>
        <w:tab/>
      </w:r>
      <w:r>
        <w:tab/>
      </w:r>
      <w:r>
        <w:tab/>
      </w:r>
      <w:r>
        <w:tab/>
      </w:r>
      <w:r>
        <w:tab/>
      </w:r>
      <w:r>
        <w:tab/>
      </w:r>
    </w:p>
    <w:p w:rsidR="00A12A35" w:rsidRPr="008C2583" w:rsidRDefault="00D60652" w:rsidP="005231B7">
      <w:pPr>
        <w:pStyle w:val="Footer"/>
        <w:tabs>
          <w:tab w:val="left" w:pos="720"/>
          <w:tab w:val="left" w:pos="3960"/>
          <w:tab w:val="left" w:pos="4320"/>
        </w:tabs>
        <w:spacing w:line="260" w:lineRule="exact"/>
        <w:ind w:left="2880"/>
        <w:outlineLvl w:val="0"/>
        <w:rPr>
          <w:b/>
          <w:bCs/>
          <w:sz w:val="28"/>
          <w:szCs w:val="28"/>
          <w:lang w:val="en-US"/>
          <w14:shadow w14:blurRad="50800" w14:dist="38100" w14:dir="2700000" w14:sx="100000" w14:sy="100000" w14:kx="0" w14:ky="0" w14:algn="tl">
            <w14:srgbClr w14:val="000000">
              <w14:alpha w14:val="60000"/>
            </w14:srgbClr>
          </w14:shadow>
        </w:rPr>
      </w:pPr>
      <w:r>
        <w:rPr>
          <w:noProof/>
          <w:lang w:val="en-US"/>
        </w:rPr>
        <w:drawing>
          <wp:anchor distT="0" distB="0" distL="114300" distR="114300" simplePos="0" relativeHeight="251755520" behindDoc="0" locked="0" layoutInCell="1" allowOverlap="1" wp14:anchorId="339BCBF2">
            <wp:simplePos x="0" y="0"/>
            <wp:positionH relativeFrom="column">
              <wp:posOffset>3548050</wp:posOffset>
            </wp:positionH>
            <wp:positionV relativeFrom="page">
              <wp:posOffset>7658100</wp:posOffset>
            </wp:positionV>
            <wp:extent cx="3078000" cy="2088000"/>
            <wp:effectExtent l="0" t="0" r="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8000" cy="2088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4496" behindDoc="0" locked="0" layoutInCell="1" allowOverlap="1" wp14:anchorId="399925E6">
            <wp:simplePos x="0" y="0"/>
            <wp:positionH relativeFrom="column">
              <wp:posOffset>22</wp:posOffset>
            </wp:positionH>
            <wp:positionV relativeFrom="page">
              <wp:posOffset>7710098</wp:posOffset>
            </wp:positionV>
            <wp:extent cx="3078000" cy="2088000"/>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8000" cy="2088000"/>
                    </a:xfrm>
                    <a:prstGeom prst="rect">
                      <a:avLst/>
                    </a:prstGeom>
                    <a:noFill/>
                  </pic:spPr>
                </pic:pic>
              </a:graphicData>
            </a:graphic>
            <wp14:sizeRelH relativeFrom="page">
              <wp14:pctWidth>0</wp14:pctWidth>
            </wp14:sizeRelH>
            <wp14:sizeRelV relativeFrom="page">
              <wp14:pctHeight>0</wp14:pctHeight>
            </wp14:sizeRelV>
          </wp:anchor>
        </w:drawing>
      </w:r>
      <w:r w:rsidR="001142A5" w:rsidRPr="009F698C">
        <w:br w:type="page"/>
      </w:r>
      <w:bookmarkStart w:id="0" w:name="OLE_LINK3"/>
    </w:p>
    <w:p w:rsidR="00AD420E" w:rsidRDefault="00AD420E">
      <w:pPr>
        <w:autoSpaceDE/>
        <w:autoSpaceDN/>
        <w:rPr>
          <w:sz w:val="20"/>
          <w:szCs w:val="20"/>
          <w:lang w:val="en-GB"/>
        </w:rPr>
      </w:pPr>
    </w:p>
    <w:p w:rsidR="001142A5" w:rsidRPr="004C7355" w:rsidRDefault="001142A5" w:rsidP="001142A5">
      <w:pPr>
        <w:pStyle w:val="Footer"/>
        <w:jc w:val="center"/>
        <w:outlineLvl w:val="0"/>
        <w:rPr>
          <w:b/>
          <w:bCs/>
          <w:iCs/>
          <w:sz w:val="28"/>
          <w:szCs w:val="28"/>
          <w:lang w:val="en-US"/>
          <w14:shadow w14:blurRad="50800" w14:dist="38100" w14:dir="2700000" w14:sx="100000" w14:sy="100000" w14:kx="0" w14:ky="0" w14:algn="tl">
            <w14:srgbClr w14:val="000000">
              <w14:alpha w14:val="60000"/>
            </w14:srgbClr>
          </w14:shadow>
        </w:rPr>
      </w:pPr>
      <w:r w:rsidRPr="004C7355">
        <w:rPr>
          <w:b/>
          <w:bCs/>
          <w:iCs/>
          <w:sz w:val="28"/>
          <w:szCs w:val="28"/>
          <w:lang w:val="en-US"/>
          <w14:shadow w14:blurRad="50800" w14:dist="38100" w14:dir="2700000" w14:sx="100000" w14:sy="100000" w14:kx="0" w14:ky="0" w14:algn="tl">
            <w14:srgbClr w14:val="000000">
              <w14:alpha w14:val="60000"/>
            </w14:srgbClr>
          </w14:shadow>
        </w:rPr>
        <w:t>Trends in the UCITS Market</w:t>
      </w:r>
    </w:p>
    <w:p w:rsidR="001142A5" w:rsidRDefault="001142A5" w:rsidP="001142A5">
      <w:pPr>
        <w:pStyle w:val="Footer"/>
        <w:jc w:val="center"/>
        <w:rPr>
          <w:b/>
          <w:bCs/>
          <w:i/>
          <w:iCs/>
          <w:sz w:val="16"/>
          <w:szCs w:val="16"/>
          <w:lang w:val="en-US"/>
        </w:rPr>
      </w:pPr>
      <w:r w:rsidRPr="004C7355">
        <w:rPr>
          <w:b/>
          <w:bCs/>
          <w:i/>
          <w:iCs/>
          <w:sz w:val="28"/>
          <w:szCs w:val="28"/>
          <w:lang w:val="en-US"/>
          <w14:shadow w14:blurRad="50800" w14:dist="38100" w14:dir="2700000" w14:sx="100000" w14:sy="100000" w14:kx="0" w14:ky="0" w14:algn="tl">
            <w14:srgbClr w14:val="000000">
              <w14:alpha w14:val="60000"/>
            </w14:srgbClr>
          </w14:shadow>
        </w:rPr>
        <w:t>Net Sales by Country of Domiciliation and Investment Type</w:t>
      </w:r>
    </w:p>
    <w:p w:rsidR="001142A5" w:rsidRDefault="001142A5" w:rsidP="001142A5">
      <w:pPr>
        <w:spacing w:line="260" w:lineRule="atLeast"/>
        <w:jc w:val="both"/>
        <w:rPr>
          <w:b/>
          <w:color w:val="0000FF"/>
          <w:sz w:val="22"/>
          <w:szCs w:val="22"/>
          <w:lang w:eastAsia="fr-FR"/>
        </w:rPr>
      </w:pPr>
    </w:p>
    <w:p w:rsidR="001142A5" w:rsidRDefault="00FD4A0B" w:rsidP="001142A5">
      <w:pPr>
        <w:spacing w:line="260" w:lineRule="atLeast"/>
        <w:jc w:val="both"/>
        <w:rPr>
          <w:b/>
          <w:color w:val="0000FF"/>
          <w:sz w:val="22"/>
          <w:szCs w:val="22"/>
          <w:lang w:eastAsia="fr-FR"/>
        </w:rPr>
      </w:pPr>
      <w:r>
        <w:rPr>
          <w:b/>
          <w:color w:val="0000FF"/>
          <w:sz w:val="22"/>
          <w:szCs w:val="22"/>
          <w:lang w:eastAsia="fr-FR"/>
        </w:rPr>
        <w:t xml:space="preserve">Twenty </w:t>
      </w:r>
      <w:r w:rsidR="001142A5">
        <w:rPr>
          <w:b/>
          <w:color w:val="0000FF"/>
          <w:sz w:val="22"/>
          <w:szCs w:val="22"/>
          <w:lang w:eastAsia="fr-FR"/>
        </w:rPr>
        <w:t>countries registered</w:t>
      </w:r>
      <w:r w:rsidR="001142A5" w:rsidRPr="00783D39">
        <w:rPr>
          <w:b/>
          <w:color w:val="0000FF"/>
          <w:sz w:val="22"/>
          <w:szCs w:val="22"/>
          <w:lang w:eastAsia="fr-FR"/>
        </w:rPr>
        <w:t xml:space="preserve"> net inflows</w:t>
      </w:r>
      <w:r w:rsidR="001142A5">
        <w:rPr>
          <w:b/>
          <w:color w:val="0000FF"/>
          <w:sz w:val="22"/>
          <w:szCs w:val="22"/>
          <w:lang w:eastAsia="fr-FR"/>
        </w:rPr>
        <w:t xml:space="preserve"> into UCITS in the </w:t>
      </w:r>
      <w:r>
        <w:rPr>
          <w:b/>
          <w:color w:val="0000FF"/>
          <w:sz w:val="22"/>
          <w:szCs w:val="22"/>
          <w:lang w:eastAsia="fr-FR"/>
        </w:rPr>
        <w:t>fourth quarter of 2017, with nine</w:t>
      </w:r>
      <w:r w:rsidR="00537E5C">
        <w:rPr>
          <w:b/>
          <w:color w:val="0000FF"/>
          <w:sz w:val="22"/>
          <w:szCs w:val="22"/>
          <w:lang w:eastAsia="fr-FR"/>
        </w:rPr>
        <w:t xml:space="preserve"> countries recording net sales</w:t>
      </w:r>
      <w:r w:rsidR="001142A5">
        <w:rPr>
          <w:b/>
          <w:color w:val="0000FF"/>
          <w:sz w:val="22"/>
          <w:szCs w:val="22"/>
          <w:lang w:eastAsia="fr-FR"/>
        </w:rPr>
        <w:t xml:space="preserve"> above EUR 1 billion.</w:t>
      </w:r>
    </w:p>
    <w:p w:rsidR="001142A5" w:rsidRDefault="001142A5" w:rsidP="001142A5">
      <w:pPr>
        <w:spacing w:line="260" w:lineRule="atLeast"/>
        <w:jc w:val="both"/>
        <w:rPr>
          <w:b/>
          <w:color w:val="0000FF"/>
          <w:sz w:val="22"/>
          <w:szCs w:val="22"/>
          <w:lang w:eastAsia="fr-FR"/>
        </w:rPr>
      </w:pPr>
    </w:p>
    <w:p w:rsidR="001142A5" w:rsidRDefault="00A91FB5" w:rsidP="001142A5">
      <w:pPr>
        <w:spacing w:line="260" w:lineRule="atLeast"/>
        <w:jc w:val="both"/>
        <w:rPr>
          <w:sz w:val="22"/>
          <w:szCs w:val="22"/>
          <w:lang w:eastAsia="fr-FR"/>
        </w:rPr>
      </w:pPr>
      <w:r>
        <w:rPr>
          <w:sz w:val="22"/>
          <w:szCs w:val="22"/>
          <w:lang w:eastAsia="fr-FR"/>
        </w:rPr>
        <w:t>In Q4 2017, t</w:t>
      </w:r>
      <w:r w:rsidR="001142A5">
        <w:rPr>
          <w:sz w:val="22"/>
          <w:szCs w:val="22"/>
          <w:lang w:eastAsia="fr-FR"/>
        </w:rPr>
        <w:t xml:space="preserve">he </w:t>
      </w:r>
      <w:r w:rsidR="0047341B">
        <w:rPr>
          <w:sz w:val="22"/>
          <w:szCs w:val="22"/>
          <w:lang w:eastAsia="fr-FR"/>
        </w:rPr>
        <w:t xml:space="preserve">five domiciles with the </w:t>
      </w:r>
      <w:r w:rsidR="001142A5">
        <w:rPr>
          <w:sz w:val="22"/>
          <w:szCs w:val="22"/>
          <w:lang w:eastAsia="fr-FR"/>
        </w:rPr>
        <w:t xml:space="preserve">largest net </w:t>
      </w:r>
      <w:r w:rsidR="00537E5C">
        <w:rPr>
          <w:sz w:val="22"/>
          <w:szCs w:val="22"/>
          <w:lang w:eastAsia="fr-FR"/>
        </w:rPr>
        <w:t>sales</w:t>
      </w:r>
      <w:r w:rsidR="001142A5">
        <w:rPr>
          <w:sz w:val="22"/>
          <w:szCs w:val="22"/>
          <w:lang w:eastAsia="fr-FR"/>
        </w:rPr>
        <w:t xml:space="preserve"> were </w:t>
      </w:r>
      <w:r w:rsidR="00400550" w:rsidRPr="00400550">
        <w:rPr>
          <w:sz w:val="22"/>
          <w:szCs w:val="22"/>
          <w:lang w:eastAsia="fr-FR"/>
        </w:rPr>
        <w:t xml:space="preserve">Luxembourg </w:t>
      </w:r>
      <w:r w:rsidR="00FD4A0B">
        <w:rPr>
          <w:sz w:val="22"/>
          <w:szCs w:val="22"/>
          <w:lang w:eastAsia="fr-FR"/>
        </w:rPr>
        <w:t>(EUR 73.9</w:t>
      </w:r>
      <w:r w:rsidR="001142A5">
        <w:rPr>
          <w:sz w:val="22"/>
          <w:szCs w:val="22"/>
          <w:lang w:eastAsia="fr-FR"/>
        </w:rPr>
        <w:t xml:space="preserve"> bil</w:t>
      </w:r>
      <w:r w:rsidR="002C410A">
        <w:rPr>
          <w:sz w:val="22"/>
          <w:szCs w:val="22"/>
          <w:lang w:eastAsia="fr-FR"/>
        </w:rPr>
        <w:t>lion), f</w:t>
      </w:r>
      <w:r w:rsidR="001142A5">
        <w:rPr>
          <w:sz w:val="22"/>
          <w:szCs w:val="22"/>
          <w:lang w:eastAsia="fr-FR"/>
        </w:rPr>
        <w:t xml:space="preserve">ollowed by </w:t>
      </w:r>
      <w:r w:rsidR="00400550" w:rsidRPr="00400550">
        <w:rPr>
          <w:sz w:val="22"/>
          <w:szCs w:val="22"/>
          <w:lang w:eastAsia="fr-FR"/>
        </w:rPr>
        <w:t xml:space="preserve">Ireland </w:t>
      </w:r>
      <w:r w:rsidR="001142A5">
        <w:rPr>
          <w:sz w:val="22"/>
          <w:szCs w:val="22"/>
          <w:lang w:eastAsia="fr-FR"/>
        </w:rPr>
        <w:t xml:space="preserve">(EUR </w:t>
      </w:r>
      <w:r w:rsidR="00FD4A0B">
        <w:rPr>
          <w:sz w:val="22"/>
          <w:szCs w:val="22"/>
          <w:lang w:eastAsia="fr-FR"/>
        </w:rPr>
        <w:t>67.7</w:t>
      </w:r>
      <w:r w:rsidR="001142A5">
        <w:rPr>
          <w:sz w:val="22"/>
          <w:szCs w:val="22"/>
          <w:lang w:eastAsia="fr-FR"/>
        </w:rPr>
        <w:t xml:space="preserve"> billion)</w:t>
      </w:r>
      <w:r w:rsidR="004A0BB0">
        <w:rPr>
          <w:sz w:val="22"/>
          <w:szCs w:val="22"/>
          <w:lang w:eastAsia="fr-FR"/>
        </w:rPr>
        <w:t xml:space="preserve">, </w:t>
      </w:r>
      <w:r w:rsidR="00FD4A0B">
        <w:rPr>
          <w:sz w:val="22"/>
          <w:szCs w:val="22"/>
          <w:lang w:eastAsia="fr-FR"/>
        </w:rPr>
        <w:t>United Kingdom (EUR 12.8</w:t>
      </w:r>
      <w:r w:rsidR="00A70476">
        <w:rPr>
          <w:sz w:val="22"/>
          <w:szCs w:val="22"/>
          <w:lang w:eastAsia="fr-FR"/>
        </w:rPr>
        <w:t xml:space="preserve"> billion</w:t>
      </w:r>
      <w:r w:rsidR="004A0BB0">
        <w:rPr>
          <w:sz w:val="22"/>
          <w:szCs w:val="22"/>
          <w:lang w:eastAsia="fr-FR"/>
        </w:rPr>
        <w:t>)</w:t>
      </w:r>
      <w:r w:rsidR="00A70476">
        <w:rPr>
          <w:sz w:val="22"/>
          <w:szCs w:val="22"/>
          <w:lang w:eastAsia="fr-FR"/>
        </w:rPr>
        <w:t>,</w:t>
      </w:r>
      <w:r w:rsidR="004A0BB0">
        <w:rPr>
          <w:sz w:val="22"/>
          <w:szCs w:val="22"/>
          <w:lang w:eastAsia="fr-FR"/>
        </w:rPr>
        <w:t xml:space="preserve"> </w:t>
      </w:r>
      <w:r w:rsidR="00FD4A0B">
        <w:rPr>
          <w:sz w:val="22"/>
          <w:szCs w:val="22"/>
          <w:lang w:eastAsia="fr-FR"/>
        </w:rPr>
        <w:t>Spain (EUR 7.5</w:t>
      </w:r>
      <w:r w:rsidR="00A70476">
        <w:rPr>
          <w:sz w:val="22"/>
          <w:szCs w:val="22"/>
          <w:lang w:eastAsia="fr-FR"/>
        </w:rPr>
        <w:t xml:space="preserve"> </w:t>
      </w:r>
      <w:r w:rsidR="00026F20">
        <w:rPr>
          <w:sz w:val="22"/>
          <w:szCs w:val="22"/>
          <w:lang w:eastAsia="fr-FR"/>
        </w:rPr>
        <w:t>billion</w:t>
      </w:r>
      <w:r w:rsidR="00A70476">
        <w:rPr>
          <w:sz w:val="22"/>
          <w:szCs w:val="22"/>
          <w:lang w:eastAsia="fr-FR"/>
        </w:rPr>
        <w:t>), and</w:t>
      </w:r>
      <w:r w:rsidR="007D2473">
        <w:rPr>
          <w:sz w:val="22"/>
          <w:szCs w:val="22"/>
          <w:lang w:eastAsia="fr-FR"/>
        </w:rPr>
        <w:t xml:space="preserve"> Switzerland </w:t>
      </w:r>
      <w:r w:rsidR="00A70476">
        <w:rPr>
          <w:sz w:val="22"/>
          <w:szCs w:val="22"/>
          <w:lang w:eastAsia="fr-FR"/>
        </w:rPr>
        <w:t xml:space="preserve">(EUR </w:t>
      </w:r>
      <w:r w:rsidR="007D2473">
        <w:rPr>
          <w:sz w:val="22"/>
          <w:szCs w:val="22"/>
          <w:lang w:eastAsia="fr-FR"/>
        </w:rPr>
        <w:t>6.5</w:t>
      </w:r>
      <w:r w:rsidR="00A70476">
        <w:rPr>
          <w:sz w:val="22"/>
          <w:szCs w:val="22"/>
          <w:lang w:eastAsia="fr-FR"/>
        </w:rPr>
        <w:t xml:space="preserve"> </w:t>
      </w:r>
      <w:r w:rsidR="00026F20">
        <w:rPr>
          <w:sz w:val="22"/>
          <w:szCs w:val="22"/>
          <w:lang w:eastAsia="fr-FR"/>
        </w:rPr>
        <w:t>billion</w:t>
      </w:r>
      <w:r w:rsidR="00A70476">
        <w:rPr>
          <w:sz w:val="22"/>
          <w:szCs w:val="22"/>
          <w:lang w:eastAsia="fr-FR"/>
        </w:rPr>
        <w:t>)</w:t>
      </w:r>
      <w:r w:rsidR="001142A5">
        <w:rPr>
          <w:sz w:val="22"/>
          <w:szCs w:val="22"/>
          <w:lang w:eastAsia="fr-FR"/>
        </w:rPr>
        <w:t xml:space="preserve">. </w:t>
      </w:r>
    </w:p>
    <w:p w:rsidR="00A91FB5" w:rsidRDefault="00A91FB5" w:rsidP="001142A5">
      <w:pPr>
        <w:spacing w:line="260" w:lineRule="atLeast"/>
        <w:jc w:val="both"/>
        <w:rPr>
          <w:sz w:val="22"/>
          <w:szCs w:val="22"/>
          <w:lang w:eastAsia="fr-FR"/>
        </w:rPr>
      </w:pPr>
    </w:p>
    <w:p w:rsidR="00A91FB5" w:rsidRDefault="00A91FB5" w:rsidP="001142A5">
      <w:pPr>
        <w:spacing w:line="260" w:lineRule="atLeast"/>
        <w:jc w:val="both"/>
        <w:rPr>
          <w:sz w:val="22"/>
          <w:szCs w:val="22"/>
          <w:lang w:eastAsia="fr-FR"/>
        </w:rPr>
      </w:pPr>
      <w:r>
        <w:rPr>
          <w:sz w:val="22"/>
          <w:szCs w:val="22"/>
          <w:lang w:eastAsia="fr-FR"/>
        </w:rPr>
        <w:t>In 2017, eight domiciles attracted net sales larger than EUR 10 billion: Luxembourg (EUR 280.9 billion), Ireland (EUR 242.1 billion), the United Kingdom (EUR 54.1 billion), France (EUR 45.4 billion), Germany (EUR 25 billion), Spain (EUR 24.4 billion), Italy (EUR 16.9 billion) and Switzerland (EUR 16.4 billion).</w:t>
      </w:r>
    </w:p>
    <w:p w:rsidR="001142A5" w:rsidRPr="004C7355" w:rsidRDefault="001142A5" w:rsidP="001142A5">
      <w:pPr>
        <w:pStyle w:val="Footer"/>
        <w:tabs>
          <w:tab w:val="left" w:pos="720"/>
          <w:tab w:val="left" w:pos="3960"/>
          <w:tab w:val="left" w:pos="4320"/>
        </w:tabs>
        <w:spacing w:line="260" w:lineRule="exact"/>
        <w:outlineLvl w:val="0"/>
        <w:rPr>
          <w:b/>
          <w:bCs/>
          <w:sz w:val="28"/>
          <w:szCs w:val="28"/>
          <w:lang w:val="en-US"/>
          <w14:shadow w14:blurRad="50800" w14:dist="38100" w14:dir="2700000" w14:sx="100000" w14:sy="100000" w14:kx="0" w14:ky="0" w14:algn="tl">
            <w14:srgbClr w14:val="000000">
              <w14:alpha w14:val="60000"/>
            </w14:srgbClr>
          </w14:shadow>
        </w:rPr>
      </w:pPr>
    </w:p>
    <w:p w:rsidR="001142A5" w:rsidRPr="004C7355" w:rsidRDefault="00E74878" w:rsidP="001142A5">
      <w:pPr>
        <w:pStyle w:val="Footer"/>
        <w:jc w:val="center"/>
        <w:outlineLvl w:val="0"/>
        <w:rPr>
          <w:b/>
          <w:bCs/>
          <w:iCs/>
          <w:sz w:val="28"/>
          <w:szCs w:val="28"/>
          <w:lang w:val="en-US"/>
          <w14:shadow w14:blurRad="50800" w14:dist="38100" w14:dir="2700000" w14:sx="100000" w14:sy="100000" w14:kx="0" w14:ky="0" w14:algn="tl">
            <w14:srgbClr w14:val="000000">
              <w14:alpha w14:val="60000"/>
            </w14:srgbClr>
          </w14:shadow>
        </w:rPr>
      </w:pPr>
      <w:r w:rsidRPr="00E74878">
        <w:rPr>
          <w:noProof/>
          <w:lang w:val="en-US"/>
        </w:rPr>
        <w:drawing>
          <wp:anchor distT="0" distB="0" distL="114300" distR="114300" simplePos="0" relativeHeight="251800576" behindDoc="0" locked="0" layoutInCell="1" allowOverlap="1">
            <wp:simplePos x="0" y="0"/>
            <wp:positionH relativeFrom="column">
              <wp:posOffset>-635</wp:posOffset>
            </wp:positionH>
            <wp:positionV relativeFrom="paragraph">
              <wp:posOffset>2540</wp:posOffset>
            </wp:positionV>
            <wp:extent cx="6264000" cy="578880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000" cy="57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2A5" w:rsidRPr="004C7355">
        <w:rPr>
          <w:b/>
          <w:bCs/>
          <w:sz w:val="28"/>
          <w:szCs w:val="28"/>
          <w:lang w:val="en-US"/>
          <w14:shadow w14:blurRad="50800" w14:dist="38100" w14:dir="2700000" w14:sx="100000" w14:sy="100000" w14:kx="0" w14:ky="0" w14:algn="tl">
            <w14:srgbClr w14:val="000000">
              <w14:alpha w14:val="60000"/>
            </w14:srgbClr>
          </w14:shadow>
        </w:rPr>
        <w:br w:type="page"/>
      </w:r>
      <w:r w:rsidR="001142A5" w:rsidRPr="004C7355">
        <w:rPr>
          <w:b/>
          <w:bCs/>
          <w:iCs/>
          <w:sz w:val="28"/>
          <w:szCs w:val="28"/>
          <w:lang w:val="en-US"/>
          <w14:shadow w14:blurRad="50800" w14:dist="38100" w14:dir="2700000" w14:sx="100000" w14:sy="100000" w14:kx="0" w14:ky="0" w14:algn="tl">
            <w14:srgbClr w14:val="000000">
              <w14:alpha w14:val="60000"/>
            </w14:srgbClr>
          </w14:shadow>
        </w:rPr>
        <w:lastRenderedPageBreak/>
        <w:t>Trends in the UCITS Market</w:t>
      </w:r>
    </w:p>
    <w:p w:rsidR="001142A5" w:rsidRDefault="001142A5" w:rsidP="001142A5">
      <w:pPr>
        <w:pStyle w:val="Footer"/>
        <w:jc w:val="center"/>
        <w:rPr>
          <w:b/>
          <w:bCs/>
          <w:i/>
          <w:iCs/>
          <w:sz w:val="16"/>
          <w:szCs w:val="16"/>
          <w:lang w:val="en-US"/>
        </w:rPr>
      </w:pPr>
      <w:r w:rsidRPr="004C7355">
        <w:rPr>
          <w:b/>
          <w:bCs/>
          <w:i/>
          <w:iCs/>
          <w:sz w:val="28"/>
          <w:szCs w:val="28"/>
          <w:lang w:val="en-US"/>
          <w14:shadow w14:blurRad="50800" w14:dist="38100" w14:dir="2700000" w14:sx="100000" w14:sy="100000" w14:kx="0" w14:ky="0" w14:algn="tl">
            <w14:srgbClr w14:val="000000">
              <w14:alpha w14:val="60000"/>
            </w14:srgbClr>
          </w14:shadow>
        </w:rPr>
        <w:t xml:space="preserve">Net Sales and Net Assets of ETF by Country of Domiciliation </w:t>
      </w:r>
    </w:p>
    <w:p w:rsidR="001142A5" w:rsidRDefault="001142A5" w:rsidP="001142A5">
      <w:pPr>
        <w:spacing w:line="260" w:lineRule="atLeast"/>
        <w:jc w:val="both"/>
        <w:rPr>
          <w:b/>
          <w:color w:val="0000FF"/>
          <w:sz w:val="22"/>
          <w:szCs w:val="22"/>
          <w:lang w:eastAsia="fr-FR"/>
        </w:rPr>
      </w:pPr>
    </w:p>
    <w:p w:rsidR="001142A5" w:rsidRDefault="001142A5" w:rsidP="001142A5">
      <w:pPr>
        <w:spacing w:line="260" w:lineRule="atLeast"/>
        <w:jc w:val="both"/>
        <w:rPr>
          <w:b/>
          <w:color w:val="0000FF"/>
          <w:sz w:val="22"/>
          <w:szCs w:val="22"/>
          <w:lang w:eastAsia="fr-FR"/>
        </w:rPr>
      </w:pPr>
      <w:r>
        <w:rPr>
          <w:b/>
          <w:color w:val="0000FF"/>
          <w:sz w:val="22"/>
          <w:szCs w:val="22"/>
          <w:lang w:eastAsia="fr-FR"/>
        </w:rPr>
        <w:t>Net sales</w:t>
      </w:r>
      <w:r w:rsidR="00D96855">
        <w:rPr>
          <w:b/>
          <w:color w:val="0000FF"/>
          <w:sz w:val="22"/>
          <w:szCs w:val="22"/>
          <w:lang w:eastAsia="fr-FR"/>
        </w:rPr>
        <w:t xml:space="preserve"> of UCITS ETF amounted to EUR 8.8</w:t>
      </w:r>
      <w:r>
        <w:rPr>
          <w:b/>
          <w:color w:val="0000FF"/>
          <w:sz w:val="22"/>
          <w:szCs w:val="22"/>
          <w:lang w:eastAsia="fr-FR"/>
        </w:rPr>
        <w:t xml:space="preserve"> billion in </w:t>
      </w:r>
      <w:r w:rsidR="000D2165">
        <w:rPr>
          <w:b/>
          <w:color w:val="0000FF"/>
          <w:sz w:val="22"/>
          <w:szCs w:val="22"/>
          <w:lang w:eastAsia="fr-FR"/>
        </w:rPr>
        <w:t>Q4 2017</w:t>
      </w:r>
      <w:r>
        <w:rPr>
          <w:b/>
          <w:color w:val="0000FF"/>
          <w:sz w:val="22"/>
          <w:szCs w:val="22"/>
          <w:lang w:eastAsia="fr-FR"/>
        </w:rPr>
        <w:t xml:space="preserve">, </w:t>
      </w:r>
      <w:r w:rsidR="005948B1">
        <w:rPr>
          <w:b/>
          <w:color w:val="0000FF"/>
          <w:sz w:val="22"/>
          <w:szCs w:val="22"/>
          <w:lang w:eastAsia="fr-FR"/>
        </w:rPr>
        <w:t>down from</w:t>
      </w:r>
      <w:r w:rsidR="00D96855">
        <w:rPr>
          <w:b/>
          <w:color w:val="0000FF"/>
          <w:sz w:val="22"/>
          <w:szCs w:val="22"/>
          <w:lang w:eastAsia="fr-FR"/>
        </w:rPr>
        <w:t xml:space="preserve"> EUR 12.1</w:t>
      </w:r>
      <w:r>
        <w:rPr>
          <w:b/>
          <w:color w:val="0000FF"/>
          <w:sz w:val="22"/>
          <w:szCs w:val="22"/>
          <w:lang w:eastAsia="fr-FR"/>
        </w:rPr>
        <w:t xml:space="preserve"> billion in the </w:t>
      </w:r>
      <w:r w:rsidR="00FD4A0B">
        <w:rPr>
          <w:b/>
          <w:color w:val="0000FF"/>
          <w:sz w:val="22"/>
          <w:szCs w:val="22"/>
          <w:lang w:eastAsia="fr-FR"/>
        </w:rPr>
        <w:t>third</w:t>
      </w:r>
      <w:r>
        <w:rPr>
          <w:b/>
          <w:color w:val="0000FF"/>
          <w:sz w:val="22"/>
          <w:szCs w:val="22"/>
          <w:lang w:eastAsia="fr-FR"/>
        </w:rPr>
        <w:t xml:space="preserve"> quarter. UCITS ETF </w:t>
      </w:r>
      <w:r w:rsidR="00D96855">
        <w:rPr>
          <w:b/>
          <w:color w:val="0000FF"/>
          <w:sz w:val="22"/>
          <w:szCs w:val="22"/>
          <w:lang w:eastAsia="fr-FR"/>
        </w:rPr>
        <w:t>attracted net sales of EUR 64.5 billion in 2017</w:t>
      </w:r>
      <w:r w:rsidR="00AC5AAD">
        <w:rPr>
          <w:b/>
          <w:color w:val="0000FF"/>
          <w:sz w:val="22"/>
          <w:szCs w:val="22"/>
          <w:lang w:eastAsia="fr-FR"/>
        </w:rPr>
        <w:t>.</w:t>
      </w:r>
      <w:r>
        <w:rPr>
          <w:rStyle w:val="FootnoteReference"/>
          <w:b/>
          <w:color w:val="0000FF"/>
          <w:sz w:val="22"/>
          <w:szCs w:val="22"/>
          <w:lang w:eastAsia="fr-FR"/>
        </w:rPr>
        <w:footnoteReference w:id="1"/>
      </w:r>
    </w:p>
    <w:p w:rsidR="001142A5" w:rsidRDefault="001142A5" w:rsidP="001142A5">
      <w:pPr>
        <w:spacing w:line="260" w:lineRule="atLeast"/>
        <w:jc w:val="both"/>
        <w:rPr>
          <w:b/>
          <w:color w:val="0000FF"/>
          <w:sz w:val="22"/>
          <w:szCs w:val="22"/>
          <w:lang w:eastAsia="fr-FR"/>
        </w:rPr>
      </w:pPr>
    </w:p>
    <w:p w:rsidR="001142A5" w:rsidRDefault="001142A5" w:rsidP="001142A5">
      <w:pPr>
        <w:spacing w:line="260" w:lineRule="atLeast"/>
        <w:jc w:val="both"/>
        <w:rPr>
          <w:sz w:val="22"/>
          <w:szCs w:val="22"/>
          <w:lang w:eastAsia="fr-FR"/>
        </w:rPr>
      </w:pPr>
      <w:r>
        <w:rPr>
          <w:sz w:val="22"/>
          <w:szCs w:val="22"/>
          <w:lang w:eastAsia="fr-FR"/>
        </w:rPr>
        <w:t>UCITS ETF domiciled in Ireland registered the largest</w:t>
      </w:r>
      <w:r w:rsidR="000F4E8E">
        <w:rPr>
          <w:sz w:val="22"/>
          <w:szCs w:val="22"/>
          <w:lang w:eastAsia="fr-FR"/>
        </w:rPr>
        <w:t xml:space="preserve"> net</w:t>
      </w:r>
      <w:r>
        <w:rPr>
          <w:sz w:val="22"/>
          <w:szCs w:val="22"/>
          <w:lang w:eastAsia="fr-FR"/>
        </w:rPr>
        <w:t xml:space="preserve"> </w:t>
      </w:r>
      <w:r w:rsidR="00537E5C">
        <w:rPr>
          <w:sz w:val="22"/>
          <w:szCs w:val="22"/>
          <w:lang w:eastAsia="fr-FR"/>
        </w:rPr>
        <w:t>sales</w:t>
      </w:r>
      <w:r w:rsidR="00D96855">
        <w:rPr>
          <w:sz w:val="22"/>
          <w:szCs w:val="22"/>
          <w:lang w:eastAsia="fr-FR"/>
        </w:rPr>
        <w:t xml:space="preserve"> during the quarter (EUR 14.0</w:t>
      </w:r>
      <w:r>
        <w:rPr>
          <w:sz w:val="22"/>
          <w:szCs w:val="22"/>
          <w:lang w:eastAsia="fr-FR"/>
        </w:rPr>
        <w:t xml:space="preserve"> billion)</w:t>
      </w:r>
      <w:r w:rsidR="00D96855">
        <w:rPr>
          <w:sz w:val="22"/>
          <w:szCs w:val="22"/>
          <w:lang w:eastAsia="fr-FR"/>
        </w:rPr>
        <w:t>,</w:t>
      </w:r>
      <w:r w:rsidR="004F166A">
        <w:rPr>
          <w:sz w:val="22"/>
          <w:szCs w:val="22"/>
          <w:lang w:eastAsia="fr-FR"/>
        </w:rPr>
        <w:t xml:space="preserve"> reflecting the size of the</w:t>
      </w:r>
      <w:r>
        <w:rPr>
          <w:sz w:val="22"/>
          <w:szCs w:val="22"/>
          <w:lang w:eastAsia="fr-FR"/>
        </w:rPr>
        <w:t xml:space="preserve"> ETF </w:t>
      </w:r>
      <w:r w:rsidR="00D96855">
        <w:rPr>
          <w:sz w:val="22"/>
          <w:szCs w:val="22"/>
          <w:lang w:eastAsia="fr-FR"/>
        </w:rPr>
        <w:t xml:space="preserve">market, </w:t>
      </w:r>
      <w:r w:rsidR="004F166A">
        <w:rPr>
          <w:sz w:val="22"/>
          <w:szCs w:val="22"/>
          <w:lang w:eastAsia="fr-FR"/>
        </w:rPr>
        <w:t>whereas France recorded net outflows</w:t>
      </w:r>
      <w:r w:rsidR="00D96855">
        <w:rPr>
          <w:sz w:val="22"/>
          <w:szCs w:val="22"/>
          <w:lang w:eastAsia="fr-FR"/>
        </w:rPr>
        <w:t xml:space="preserve"> (EUR 4.9 billion). Looking at </w:t>
      </w:r>
      <w:r w:rsidR="00FD08B3">
        <w:rPr>
          <w:sz w:val="22"/>
          <w:szCs w:val="22"/>
          <w:lang w:eastAsia="fr-FR"/>
        </w:rPr>
        <w:t>total</w:t>
      </w:r>
      <w:r w:rsidR="00D96855">
        <w:rPr>
          <w:sz w:val="22"/>
          <w:szCs w:val="22"/>
          <w:lang w:eastAsia="fr-FR"/>
        </w:rPr>
        <w:t xml:space="preserve"> net sales in 2017, Ireland </w:t>
      </w:r>
      <w:r w:rsidR="00537E5C">
        <w:rPr>
          <w:sz w:val="22"/>
          <w:szCs w:val="22"/>
          <w:lang w:eastAsia="fr-FR"/>
        </w:rPr>
        <w:t>attracted the largest net sale</w:t>
      </w:r>
      <w:r>
        <w:rPr>
          <w:sz w:val="22"/>
          <w:szCs w:val="22"/>
          <w:lang w:eastAsia="fr-FR"/>
        </w:rPr>
        <w:t xml:space="preserve">s </w:t>
      </w:r>
      <w:r w:rsidR="00D96855">
        <w:rPr>
          <w:sz w:val="22"/>
          <w:szCs w:val="22"/>
          <w:lang w:eastAsia="fr-FR"/>
        </w:rPr>
        <w:t>(EUR 56.6 billion), followed by France (EUR 4.4 billion) and Germany (EUR 3.7 billion)</w:t>
      </w:r>
      <w:r w:rsidR="004A0BB0">
        <w:rPr>
          <w:sz w:val="22"/>
          <w:szCs w:val="22"/>
          <w:lang w:eastAsia="fr-FR"/>
        </w:rPr>
        <w:t xml:space="preserve"> </w:t>
      </w:r>
    </w:p>
    <w:p w:rsidR="004A0BB0" w:rsidRDefault="004A0BB0" w:rsidP="001142A5">
      <w:pPr>
        <w:spacing w:line="260" w:lineRule="atLeast"/>
        <w:jc w:val="both"/>
        <w:rPr>
          <w:sz w:val="22"/>
          <w:szCs w:val="22"/>
          <w:lang w:eastAsia="fr-FR"/>
        </w:rPr>
      </w:pPr>
    </w:p>
    <w:p w:rsidR="001142A5" w:rsidRDefault="00E74878" w:rsidP="001142A5">
      <w:pPr>
        <w:spacing w:line="260" w:lineRule="atLeast"/>
        <w:jc w:val="both"/>
        <w:rPr>
          <w:sz w:val="22"/>
          <w:szCs w:val="22"/>
          <w:lang w:eastAsia="fr-FR"/>
        </w:rPr>
      </w:pPr>
      <w:r w:rsidRPr="00E74878">
        <w:rPr>
          <w:noProof/>
        </w:rPr>
        <w:drawing>
          <wp:anchor distT="0" distB="0" distL="114300" distR="114300" simplePos="0" relativeHeight="251801600" behindDoc="0" locked="0" layoutInCell="1" allowOverlap="1">
            <wp:simplePos x="0" y="0"/>
            <wp:positionH relativeFrom="column">
              <wp:posOffset>875665</wp:posOffset>
            </wp:positionH>
            <wp:positionV relativeFrom="paragraph">
              <wp:posOffset>34290</wp:posOffset>
            </wp:positionV>
            <wp:extent cx="4680000" cy="3650400"/>
            <wp:effectExtent l="0" t="0" r="635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365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652" w:rsidRDefault="00D60652" w:rsidP="001142A5">
      <w:pPr>
        <w:pStyle w:val="Footer"/>
        <w:tabs>
          <w:tab w:val="left" w:pos="720"/>
          <w:tab w:val="left" w:pos="3960"/>
          <w:tab w:val="left" w:pos="4320"/>
        </w:tabs>
        <w:spacing w:line="260" w:lineRule="exact"/>
        <w:jc w:val="center"/>
        <w:outlineLvl w:val="0"/>
        <w:rPr>
          <w:b/>
          <w:bCs/>
          <w:sz w:val="28"/>
          <w:szCs w:val="28"/>
          <w:lang w:val="en-US"/>
          <w14:shadow w14:blurRad="50800" w14:dist="38100" w14:dir="2700000" w14:sx="100000" w14:sy="100000" w14:kx="0" w14:ky="0" w14:algn="tl">
            <w14:srgbClr w14:val="000000">
              <w14:alpha w14:val="60000"/>
            </w14:srgbClr>
          </w14:shadow>
        </w:rPr>
      </w:pPr>
    </w:p>
    <w:p w:rsidR="001142A5" w:rsidRPr="004C7355" w:rsidRDefault="00D60652" w:rsidP="001142A5">
      <w:pPr>
        <w:pStyle w:val="Footer"/>
        <w:tabs>
          <w:tab w:val="left" w:pos="720"/>
          <w:tab w:val="left" w:pos="3960"/>
          <w:tab w:val="left" w:pos="4320"/>
        </w:tabs>
        <w:spacing w:line="260" w:lineRule="exact"/>
        <w:jc w:val="center"/>
        <w:outlineLvl w:val="0"/>
        <w:rPr>
          <w:b/>
          <w:bCs/>
          <w:sz w:val="28"/>
          <w:szCs w:val="28"/>
          <w:lang w:val="en-US"/>
          <w14:shadow w14:blurRad="50800" w14:dist="38100" w14:dir="2700000" w14:sx="100000" w14:sy="100000" w14:kx="0" w14:ky="0" w14:algn="tl">
            <w14:srgbClr w14:val="000000">
              <w14:alpha w14:val="60000"/>
            </w14:srgbClr>
          </w14:shadow>
        </w:rPr>
      </w:pPr>
      <w:r>
        <w:rPr>
          <w:noProof/>
          <w:sz w:val="22"/>
          <w:szCs w:val="22"/>
          <w:lang w:val="en-US"/>
        </w:rPr>
        <w:drawing>
          <wp:anchor distT="0" distB="0" distL="114300" distR="114300" simplePos="0" relativeHeight="251756544" behindDoc="0" locked="0" layoutInCell="1" allowOverlap="1" wp14:anchorId="683420BE">
            <wp:simplePos x="0" y="0"/>
            <wp:positionH relativeFrom="column">
              <wp:posOffset>871855</wp:posOffset>
            </wp:positionH>
            <wp:positionV relativeFrom="page">
              <wp:posOffset>6423660</wp:posOffset>
            </wp:positionV>
            <wp:extent cx="4680000" cy="3175200"/>
            <wp:effectExtent l="0" t="0" r="635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3175200"/>
                    </a:xfrm>
                    <a:prstGeom prst="rect">
                      <a:avLst/>
                    </a:prstGeom>
                    <a:noFill/>
                  </pic:spPr>
                </pic:pic>
              </a:graphicData>
            </a:graphic>
            <wp14:sizeRelH relativeFrom="page">
              <wp14:pctWidth>0</wp14:pctWidth>
            </wp14:sizeRelH>
            <wp14:sizeRelV relativeFrom="page">
              <wp14:pctHeight>0</wp14:pctHeight>
            </wp14:sizeRelV>
          </wp:anchor>
        </w:drawing>
      </w:r>
      <w:r w:rsidR="001142A5" w:rsidRPr="004C7355">
        <w:rPr>
          <w:b/>
          <w:bCs/>
          <w:sz w:val="28"/>
          <w:szCs w:val="28"/>
          <w:lang w:val="en-US"/>
          <w14:shadow w14:blurRad="50800" w14:dist="38100" w14:dir="2700000" w14:sx="100000" w14:sy="100000" w14:kx="0" w14:ky="0" w14:algn="tl">
            <w14:srgbClr w14:val="000000">
              <w14:alpha w14:val="60000"/>
            </w14:srgbClr>
          </w14:shadow>
        </w:rPr>
        <w:br w:type="page"/>
      </w:r>
      <w:r w:rsidR="001142A5" w:rsidRPr="004C7355">
        <w:rPr>
          <w:b/>
          <w:bCs/>
          <w:sz w:val="28"/>
          <w:szCs w:val="28"/>
          <w:lang w:val="en-US"/>
          <w14:shadow w14:blurRad="50800" w14:dist="38100" w14:dir="2700000" w14:sx="100000" w14:sy="100000" w14:kx="0" w14:ky="0" w14:algn="tl">
            <w14:srgbClr w14:val="000000">
              <w14:alpha w14:val="60000"/>
            </w14:srgbClr>
          </w14:shadow>
        </w:rPr>
        <w:lastRenderedPageBreak/>
        <w:t>Trends in the UCITS Market</w:t>
      </w:r>
    </w:p>
    <w:p w:rsidR="001142A5" w:rsidRPr="004C7355" w:rsidRDefault="001142A5" w:rsidP="001142A5">
      <w:pPr>
        <w:pStyle w:val="Footer"/>
        <w:jc w:val="center"/>
        <w:outlineLvl w:val="0"/>
        <w:rPr>
          <w:b/>
          <w:bCs/>
          <w:i/>
          <w:iCs/>
          <w:sz w:val="28"/>
          <w:szCs w:val="28"/>
          <w:lang w:val="en-US"/>
          <w14:shadow w14:blurRad="50800" w14:dist="38100" w14:dir="2700000" w14:sx="100000" w14:sy="100000" w14:kx="0" w14:ky="0" w14:algn="tl">
            <w14:srgbClr w14:val="000000">
              <w14:alpha w14:val="60000"/>
            </w14:srgbClr>
          </w14:shadow>
        </w:rPr>
      </w:pPr>
      <w:r w:rsidRPr="004C7355">
        <w:rPr>
          <w:b/>
          <w:bCs/>
          <w:i/>
          <w:iCs/>
          <w:sz w:val="28"/>
          <w:szCs w:val="28"/>
          <w:lang w:val="en-US"/>
          <w14:shadow w14:blurRad="50800" w14:dist="38100" w14:dir="2700000" w14:sx="100000" w14:sy="100000" w14:kx="0" w14:ky="0" w14:algn="tl">
            <w14:srgbClr w14:val="000000">
              <w14:alpha w14:val="60000"/>
            </w14:srgbClr>
          </w14:shadow>
        </w:rPr>
        <w:t>Net Assets by Investment Type</w:t>
      </w:r>
    </w:p>
    <w:p w:rsidR="001142A5" w:rsidRDefault="001142A5" w:rsidP="001142A5">
      <w:pPr>
        <w:pStyle w:val="Footer"/>
        <w:tabs>
          <w:tab w:val="left" w:pos="720"/>
          <w:tab w:val="left" w:pos="4320"/>
        </w:tabs>
        <w:spacing w:line="260" w:lineRule="exact"/>
        <w:jc w:val="both"/>
        <w:rPr>
          <w:color w:val="000000"/>
          <w:sz w:val="22"/>
          <w:szCs w:val="22"/>
          <w:lang w:val="en-US"/>
        </w:rPr>
      </w:pPr>
    </w:p>
    <w:p w:rsidR="001142A5" w:rsidRDefault="000B2912" w:rsidP="001142A5">
      <w:pPr>
        <w:pStyle w:val="Footer"/>
        <w:tabs>
          <w:tab w:val="left" w:pos="720"/>
          <w:tab w:val="left" w:pos="4320"/>
        </w:tabs>
        <w:spacing w:line="260" w:lineRule="exact"/>
        <w:jc w:val="both"/>
        <w:rPr>
          <w:b/>
          <w:color w:val="0000FF"/>
          <w:sz w:val="22"/>
          <w:szCs w:val="22"/>
          <w:lang w:val="en-US"/>
        </w:rPr>
      </w:pPr>
      <w:r>
        <w:rPr>
          <w:b/>
          <w:color w:val="0000FF"/>
          <w:sz w:val="22"/>
          <w:szCs w:val="22"/>
          <w:lang w:val="en-US"/>
        </w:rPr>
        <w:t xml:space="preserve">Net assets of </w:t>
      </w:r>
      <w:r w:rsidR="001142A5">
        <w:rPr>
          <w:b/>
          <w:color w:val="0000FF"/>
          <w:sz w:val="22"/>
          <w:szCs w:val="22"/>
          <w:lang w:val="en-US"/>
        </w:rPr>
        <w:t>UCITS</w:t>
      </w:r>
      <w:r w:rsidR="00D96855">
        <w:rPr>
          <w:b/>
          <w:color w:val="0000FF"/>
          <w:sz w:val="22"/>
          <w:szCs w:val="22"/>
          <w:lang w:val="en-US"/>
        </w:rPr>
        <w:t xml:space="preserve"> increased by 3.0</w:t>
      </w:r>
      <w:r w:rsidR="00162BDB">
        <w:rPr>
          <w:b/>
          <w:color w:val="0000FF"/>
          <w:sz w:val="22"/>
          <w:szCs w:val="22"/>
          <w:lang w:val="en-US"/>
        </w:rPr>
        <w:t>%</w:t>
      </w:r>
      <w:r w:rsidR="001142A5">
        <w:rPr>
          <w:b/>
          <w:color w:val="0000FF"/>
          <w:sz w:val="22"/>
          <w:szCs w:val="22"/>
          <w:lang w:val="en-US"/>
        </w:rPr>
        <w:t xml:space="preserve"> </w:t>
      </w:r>
      <w:r w:rsidR="00EC2124">
        <w:rPr>
          <w:b/>
          <w:color w:val="0000FF"/>
          <w:sz w:val="22"/>
          <w:szCs w:val="22"/>
          <w:lang w:val="en-US"/>
        </w:rPr>
        <w:t xml:space="preserve">since end Q3 2017 </w:t>
      </w:r>
      <w:r w:rsidR="00D96855">
        <w:rPr>
          <w:b/>
          <w:color w:val="0000FF"/>
          <w:sz w:val="22"/>
          <w:szCs w:val="22"/>
          <w:lang w:val="en-US"/>
        </w:rPr>
        <w:t>to reach EUR 9,714</w:t>
      </w:r>
      <w:r w:rsidR="00297544">
        <w:rPr>
          <w:b/>
          <w:color w:val="0000FF"/>
          <w:sz w:val="22"/>
          <w:szCs w:val="22"/>
          <w:lang w:val="en-US"/>
        </w:rPr>
        <w:t xml:space="preserve"> billion</w:t>
      </w:r>
      <w:r w:rsidR="00D96855">
        <w:rPr>
          <w:b/>
          <w:color w:val="0000FF"/>
          <w:sz w:val="22"/>
          <w:szCs w:val="22"/>
          <w:lang w:val="en-US"/>
        </w:rPr>
        <w:t xml:space="preserve"> at end</w:t>
      </w:r>
      <w:r w:rsidR="00702346">
        <w:rPr>
          <w:b/>
          <w:color w:val="0000FF"/>
          <w:sz w:val="22"/>
          <w:szCs w:val="22"/>
          <w:lang w:val="en-US"/>
        </w:rPr>
        <w:t xml:space="preserve"> </w:t>
      </w:r>
      <w:r w:rsidR="000D2165">
        <w:rPr>
          <w:b/>
          <w:color w:val="0000FF"/>
          <w:sz w:val="22"/>
          <w:szCs w:val="22"/>
          <w:lang w:val="en-US"/>
        </w:rPr>
        <w:t>Q4 2017</w:t>
      </w:r>
      <w:r w:rsidR="00EC2124">
        <w:rPr>
          <w:b/>
          <w:color w:val="0000FF"/>
          <w:sz w:val="22"/>
          <w:szCs w:val="22"/>
          <w:lang w:val="en-US"/>
        </w:rPr>
        <w:t>. Over the course of the year 2017</w:t>
      </w:r>
      <w:r w:rsidR="00386104">
        <w:rPr>
          <w:b/>
          <w:color w:val="0000FF"/>
          <w:sz w:val="22"/>
          <w:szCs w:val="22"/>
          <w:lang w:val="en-US"/>
        </w:rPr>
        <w:t>,</w:t>
      </w:r>
      <w:r w:rsidR="00EC2124">
        <w:rPr>
          <w:b/>
          <w:color w:val="0000FF"/>
          <w:sz w:val="22"/>
          <w:szCs w:val="22"/>
          <w:lang w:val="en-US"/>
        </w:rPr>
        <w:t xml:space="preserve"> UCITS </w:t>
      </w:r>
      <w:r w:rsidR="00386104">
        <w:rPr>
          <w:b/>
          <w:color w:val="0000FF"/>
          <w:sz w:val="22"/>
          <w:szCs w:val="22"/>
          <w:lang w:val="en-US"/>
        </w:rPr>
        <w:t xml:space="preserve">net </w:t>
      </w:r>
      <w:r w:rsidR="00EC2124">
        <w:rPr>
          <w:b/>
          <w:color w:val="0000FF"/>
          <w:sz w:val="22"/>
          <w:szCs w:val="22"/>
          <w:lang w:val="en-US"/>
        </w:rPr>
        <w:t>assets grew by</w:t>
      </w:r>
      <w:r w:rsidR="000173A6">
        <w:rPr>
          <w:b/>
          <w:color w:val="0000FF"/>
          <w:sz w:val="22"/>
          <w:szCs w:val="22"/>
          <w:lang w:val="en-US"/>
        </w:rPr>
        <w:t xml:space="preserve"> 12%.</w:t>
      </w:r>
    </w:p>
    <w:p w:rsidR="004F166A" w:rsidRDefault="004F166A" w:rsidP="001142A5">
      <w:pPr>
        <w:pStyle w:val="Footer"/>
        <w:tabs>
          <w:tab w:val="left" w:pos="720"/>
          <w:tab w:val="left" w:pos="4320"/>
        </w:tabs>
        <w:spacing w:line="260" w:lineRule="exact"/>
        <w:jc w:val="both"/>
        <w:rPr>
          <w:b/>
          <w:color w:val="0000FF"/>
          <w:sz w:val="22"/>
          <w:szCs w:val="22"/>
          <w:lang w:val="en-US"/>
        </w:rPr>
      </w:pPr>
    </w:p>
    <w:p w:rsidR="004F166A" w:rsidRPr="004F166A" w:rsidRDefault="004F166A" w:rsidP="001142A5">
      <w:pPr>
        <w:pStyle w:val="Footer"/>
        <w:tabs>
          <w:tab w:val="left" w:pos="720"/>
          <w:tab w:val="left" w:pos="4320"/>
        </w:tabs>
        <w:spacing w:line="260" w:lineRule="exact"/>
        <w:jc w:val="both"/>
        <w:rPr>
          <w:color w:val="000000"/>
          <w:sz w:val="22"/>
          <w:szCs w:val="22"/>
          <w:lang w:val="en-US"/>
        </w:rPr>
      </w:pPr>
      <w:r w:rsidRPr="004F166A">
        <w:rPr>
          <w:color w:val="000000"/>
          <w:sz w:val="22"/>
          <w:szCs w:val="22"/>
          <w:lang w:val="en-US"/>
        </w:rPr>
        <w:t xml:space="preserve">In Q4 2017, </w:t>
      </w:r>
      <w:r>
        <w:rPr>
          <w:color w:val="000000"/>
          <w:sz w:val="22"/>
          <w:szCs w:val="22"/>
          <w:lang w:val="en-US"/>
        </w:rPr>
        <w:t>multi-asset funds recorded the largest increase in net assets (4.7%), followed by equity (4.5%), and bond funds (2.4%). Guaranteed/protected funds saw the largest decrease in net assets (6.1%), followed by money market funds (1.0%). Other UCITS funds recorded net asset decreases of 1.9%.</w:t>
      </w:r>
    </w:p>
    <w:p w:rsidR="00D96855" w:rsidRDefault="00D96855" w:rsidP="001142A5">
      <w:pPr>
        <w:pStyle w:val="Footer"/>
        <w:tabs>
          <w:tab w:val="left" w:pos="720"/>
          <w:tab w:val="left" w:pos="4320"/>
        </w:tabs>
        <w:spacing w:line="260" w:lineRule="exact"/>
        <w:jc w:val="both"/>
        <w:rPr>
          <w:b/>
          <w:color w:val="0000FF"/>
          <w:sz w:val="22"/>
          <w:szCs w:val="22"/>
          <w:lang w:val="en-US"/>
        </w:rPr>
      </w:pPr>
    </w:p>
    <w:p w:rsidR="008B3565" w:rsidRDefault="004F166A" w:rsidP="004F166A">
      <w:pPr>
        <w:pStyle w:val="Footer"/>
        <w:tabs>
          <w:tab w:val="left" w:pos="720"/>
          <w:tab w:val="left" w:pos="4320"/>
        </w:tabs>
        <w:spacing w:line="260" w:lineRule="exact"/>
        <w:rPr>
          <w:color w:val="000000"/>
          <w:sz w:val="22"/>
          <w:szCs w:val="22"/>
          <w:lang w:val="en-US"/>
        </w:rPr>
      </w:pPr>
      <w:r>
        <w:rPr>
          <w:color w:val="000000"/>
          <w:sz w:val="22"/>
          <w:szCs w:val="22"/>
          <w:lang w:val="en-US"/>
        </w:rPr>
        <w:t xml:space="preserve">In 2017, the largest net asset increase was seen in </w:t>
      </w:r>
      <w:r w:rsidR="00E02B40">
        <w:rPr>
          <w:color w:val="000000"/>
          <w:sz w:val="22"/>
          <w:szCs w:val="22"/>
          <w:lang w:val="en-US"/>
        </w:rPr>
        <w:t>multi-asset funds (16.1%), followed by equity (15.3%), bond (11.8%),</w:t>
      </w:r>
      <w:r w:rsidR="000173A6">
        <w:rPr>
          <w:color w:val="000000"/>
          <w:sz w:val="22"/>
          <w:szCs w:val="22"/>
          <w:lang w:val="en-US"/>
        </w:rPr>
        <w:t xml:space="preserve"> and money market funds (0.4%). </w:t>
      </w:r>
      <w:r w:rsidR="00E74878">
        <w:rPr>
          <w:color w:val="000000"/>
          <w:sz w:val="22"/>
          <w:szCs w:val="22"/>
          <w:lang w:val="en-US"/>
        </w:rPr>
        <w:t>The largest net asset decrease was registered in g</w:t>
      </w:r>
      <w:r w:rsidR="00E02B40">
        <w:rPr>
          <w:color w:val="000000"/>
          <w:sz w:val="22"/>
          <w:szCs w:val="22"/>
          <w:lang w:val="en-US"/>
        </w:rPr>
        <w:t>uaranteed/protected funds (18.7%). Other UCITS funds increased by 5.7%.</w:t>
      </w:r>
      <w:r w:rsidR="00D96855">
        <w:rPr>
          <w:color w:val="000000"/>
          <w:sz w:val="22"/>
          <w:szCs w:val="22"/>
          <w:lang w:val="en-US"/>
        </w:rPr>
        <w:t xml:space="preserve"> </w:t>
      </w:r>
      <w:r w:rsidR="00D96855">
        <w:rPr>
          <w:color w:val="000000"/>
          <w:sz w:val="22"/>
          <w:szCs w:val="22"/>
          <w:lang w:val="en-US"/>
        </w:rPr>
        <w:br/>
      </w:r>
    </w:p>
    <w:p w:rsidR="001142A5" w:rsidRPr="00372635" w:rsidRDefault="001142A5" w:rsidP="00E74878">
      <w:pPr>
        <w:pStyle w:val="Footer"/>
        <w:tabs>
          <w:tab w:val="left" w:pos="720"/>
          <w:tab w:val="left" w:pos="4320"/>
        </w:tabs>
        <w:spacing w:line="260" w:lineRule="exact"/>
        <w:jc w:val="both"/>
        <w:rPr>
          <w:color w:val="000000"/>
          <w:sz w:val="22"/>
          <w:szCs w:val="22"/>
          <w:lang w:val="en-US"/>
        </w:rPr>
      </w:pPr>
      <w:r w:rsidRPr="00C43CED">
        <w:rPr>
          <w:color w:val="000000"/>
          <w:sz w:val="22"/>
          <w:szCs w:val="22"/>
          <w:lang w:val="en-US"/>
        </w:rPr>
        <w:t>The number of UCITS</w:t>
      </w:r>
      <w:r w:rsidR="00297544">
        <w:rPr>
          <w:color w:val="000000"/>
          <w:sz w:val="22"/>
          <w:szCs w:val="22"/>
          <w:lang w:val="en-US"/>
        </w:rPr>
        <w:t xml:space="preserve"> funds increased </w:t>
      </w:r>
      <w:r w:rsidR="00E02B40">
        <w:rPr>
          <w:color w:val="000000"/>
          <w:sz w:val="22"/>
          <w:szCs w:val="22"/>
          <w:lang w:val="en-US"/>
        </w:rPr>
        <w:t>from 60,683 at end Q4 2016 to 31,974 at end Q4 2017.</w:t>
      </w:r>
    </w:p>
    <w:p w:rsidR="001142A5" w:rsidRDefault="001142A5" w:rsidP="00E74878">
      <w:pPr>
        <w:pStyle w:val="Footer"/>
        <w:tabs>
          <w:tab w:val="left" w:pos="720"/>
          <w:tab w:val="left" w:pos="4320"/>
        </w:tabs>
        <w:spacing w:line="260" w:lineRule="exact"/>
        <w:jc w:val="both"/>
        <w:outlineLvl w:val="0"/>
        <w:rPr>
          <w:color w:val="000000"/>
          <w:sz w:val="22"/>
          <w:szCs w:val="22"/>
          <w:lang w:val="en-US"/>
        </w:rPr>
      </w:pPr>
    </w:p>
    <w:p w:rsidR="001142A5" w:rsidRPr="004C7355"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r w:rsidRPr="005E42AD">
        <w:rPr>
          <w:noProof/>
          <w:lang w:val="en-US"/>
        </w:rPr>
        <w:drawing>
          <wp:anchor distT="0" distB="0" distL="114300" distR="114300" simplePos="0" relativeHeight="251794432" behindDoc="0" locked="0" layoutInCell="1" allowOverlap="1">
            <wp:simplePos x="0" y="0"/>
            <wp:positionH relativeFrom="column">
              <wp:posOffset>475615</wp:posOffset>
            </wp:positionH>
            <wp:positionV relativeFrom="paragraph">
              <wp:posOffset>128270</wp:posOffset>
            </wp:positionV>
            <wp:extent cx="5263200" cy="6249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3200" cy="62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2A5" w:rsidRPr="004C7355">
        <w:rPr>
          <w:b/>
          <w:bCs/>
          <w:sz w:val="28"/>
          <w:szCs w:val="28"/>
          <w:lang w:val="en-US"/>
          <w14:shadow w14:blurRad="50800" w14:dist="38100" w14:dir="2700000" w14:sx="100000" w14:sy="100000" w14:kx="0" w14:ky="0" w14:algn="tl">
            <w14:srgbClr w14:val="000000">
              <w14:alpha w14:val="60000"/>
            </w14:srgbClr>
          </w14:shadow>
        </w:rPr>
        <w:tab/>
      </w:r>
    </w:p>
    <w:p w:rsidR="001142A5" w:rsidRPr="004C7355" w:rsidRDefault="001142A5"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1142A5" w:rsidRPr="004C7355" w:rsidRDefault="001142A5"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1142A5" w:rsidRPr="004C7355" w:rsidRDefault="001142A5"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1142A5" w:rsidRDefault="001142A5"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5E42AD" w:rsidRDefault="005E42AD"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p>
    <w:p w:rsidR="001142A5" w:rsidRPr="004C7355" w:rsidRDefault="00460039" w:rsidP="00155502">
      <w:pPr>
        <w:pStyle w:val="Footer"/>
        <w:jc w:val="center"/>
        <w:outlineLvl w:val="0"/>
        <w:rPr>
          <w:b/>
          <w:bCs/>
          <w:i/>
          <w:iCs/>
          <w:sz w:val="28"/>
          <w:szCs w:val="28"/>
          <w:lang w:val="en-US"/>
          <w14:shadow w14:blurRad="50800" w14:dist="38100" w14:dir="2700000" w14:sx="100000" w14:sy="100000" w14:kx="0" w14:ky="0" w14:algn="tl">
            <w14:srgbClr w14:val="000000">
              <w14:alpha w14:val="60000"/>
            </w14:srgbClr>
          </w14:shadow>
        </w:rPr>
      </w:pPr>
      <w:r>
        <w:rPr>
          <w:b/>
          <w:bCs/>
          <w:sz w:val="28"/>
          <w:szCs w:val="28"/>
          <w:lang w:val="en-US"/>
          <w14:shadow w14:blurRad="50800" w14:dist="38100" w14:dir="2700000" w14:sx="100000" w14:sy="100000" w14:kx="0" w14:ky="0" w14:algn="tl">
            <w14:srgbClr w14:val="000000">
              <w14:alpha w14:val="60000"/>
            </w14:srgbClr>
          </w14:shadow>
        </w:rPr>
        <w:lastRenderedPageBreak/>
        <w:t>T</w:t>
      </w:r>
      <w:r w:rsidR="001142A5" w:rsidRPr="004C7355">
        <w:rPr>
          <w:b/>
          <w:bCs/>
          <w:sz w:val="28"/>
          <w:szCs w:val="28"/>
          <w:lang w:val="en-US"/>
          <w14:shadow w14:blurRad="50800" w14:dist="38100" w14:dir="2700000" w14:sx="100000" w14:sy="100000" w14:kx="0" w14:ky="0" w14:algn="tl">
            <w14:srgbClr w14:val="000000">
              <w14:alpha w14:val="60000"/>
            </w14:srgbClr>
          </w14:shadow>
        </w:rPr>
        <w:t>rends in the UCITS Market</w:t>
      </w:r>
    </w:p>
    <w:p w:rsidR="001142A5" w:rsidRPr="004C7355" w:rsidRDefault="001142A5" w:rsidP="00155502">
      <w:pPr>
        <w:pStyle w:val="Footer"/>
        <w:jc w:val="center"/>
        <w:rPr>
          <w:b/>
          <w:bCs/>
          <w:i/>
          <w:iCs/>
          <w:sz w:val="28"/>
          <w:szCs w:val="28"/>
          <w:lang w:val="en-US"/>
          <w14:shadow w14:blurRad="50800" w14:dist="38100" w14:dir="2700000" w14:sx="100000" w14:sy="100000" w14:kx="0" w14:ky="0" w14:algn="tl">
            <w14:srgbClr w14:val="000000">
              <w14:alpha w14:val="60000"/>
            </w14:srgbClr>
          </w14:shadow>
        </w:rPr>
      </w:pPr>
      <w:r w:rsidRPr="004C7355">
        <w:rPr>
          <w:b/>
          <w:bCs/>
          <w:i/>
          <w:iCs/>
          <w:sz w:val="28"/>
          <w:szCs w:val="28"/>
          <w:lang w:val="en-US"/>
          <w14:shadow w14:blurRad="50800" w14:dist="38100" w14:dir="2700000" w14:sx="100000" w14:sy="100000" w14:kx="0" w14:ky="0" w14:algn="tl">
            <w14:srgbClr w14:val="000000">
              <w14:alpha w14:val="60000"/>
            </w14:srgbClr>
          </w14:shadow>
        </w:rPr>
        <w:t>Net Assets by Country of Domiciliation</w:t>
      </w:r>
    </w:p>
    <w:bookmarkEnd w:id="0"/>
    <w:p w:rsidR="001142A5" w:rsidRDefault="001142A5" w:rsidP="001142A5">
      <w:pPr>
        <w:pStyle w:val="FootnoteText"/>
        <w:jc w:val="both"/>
        <w:rPr>
          <w:bCs/>
          <w:color w:val="000000"/>
          <w:sz w:val="22"/>
          <w:szCs w:val="22"/>
        </w:rPr>
      </w:pPr>
    </w:p>
    <w:p w:rsidR="001142A5" w:rsidRPr="004F166A" w:rsidRDefault="005515F4" w:rsidP="001142A5">
      <w:pPr>
        <w:pStyle w:val="FootnoteText"/>
        <w:jc w:val="both"/>
        <w:rPr>
          <w:b/>
          <w:bCs/>
          <w:color w:val="0000FF"/>
          <w:sz w:val="22"/>
          <w:szCs w:val="22"/>
        </w:rPr>
      </w:pPr>
      <w:r w:rsidRPr="004F166A">
        <w:rPr>
          <w:b/>
          <w:bCs/>
          <w:color w:val="0000FF"/>
          <w:sz w:val="22"/>
          <w:szCs w:val="22"/>
        </w:rPr>
        <w:t>Twenty-four</w:t>
      </w:r>
      <w:r w:rsidR="00155502" w:rsidRPr="004F166A">
        <w:rPr>
          <w:b/>
          <w:bCs/>
          <w:color w:val="0000FF"/>
          <w:sz w:val="22"/>
          <w:szCs w:val="22"/>
        </w:rPr>
        <w:t xml:space="preserve"> </w:t>
      </w:r>
      <w:r w:rsidR="001142A5" w:rsidRPr="004F166A">
        <w:rPr>
          <w:b/>
          <w:bCs/>
          <w:color w:val="0000FF"/>
          <w:sz w:val="22"/>
          <w:szCs w:val="22"/>
        </w:rPr>
        <w:t xml:space="preserve">domiciles recorded net asset growth at end </w:t>
      </w:r>
      <w:r w:rsidR="000D2165" w:rsidRPr="004F166A">
        <w:rPr>
          <w:b/>
          <w:bCs/>
          <w:color w:val="0000FF"/>
          <w:sz w:val="22"/>
          <w:szCs w:val="22"/>
        </w:rPr>
        <w:t>Q4 2017</w:t>
      </w:r>
      <w:r w:rsidR="005948B1" w:rsidRPr="004F166A">
        <w:rPr>
          <w:b/>
          <w:bCs/>
          <w:color w:val="0000FF"/>
          <w:sz w:val="22"/>
          <w:szCs w:val="22"/>
        </w:rPr>
        <w:t>,</w:t>
      </w:r>
      <w:r w:rsidR="001142A5" w:rsidRPr="004F166A">
        <w:rPr>
          <w:b/>
          <w:bCs/>
          <w:color w:val="0000FF"/>
          <w:sz w:val="22"/>
          <w:szCs w:val="22"/>
        </w:rPr>
        <w:t xml:space="preserve"> with net as</w:t>
      </w:r>
      <w:r w:rsidR="00E04A4F" w:rsidRPr="004F166A">
        <w:rPr>
          <w:b/>
          <w:bCs/>
          <w:color w:val="0000FF"/>
          <w:sz w:val="22"/>
          <w:szCs w:val="22"/>
        </w:rPr>
        <w:t>sets of UCITS reaching EUR 9,714</w:t>
      </w:r>
      <w:r w:rsidRPr="004F166A">
        <w:rPr>
          <w:b/>
          <w:bCs/>
          <w:color w:val="0000FF"/>
          <w:sz w:val="22"/>
          <w:szCs w:val="22"/>
        </w:rPr>
        <w:t xml:space="preserve"> billion at end Q4 2017.</w:t>
      </w:r>
    </w:p>
    <w:p w:rsidR="00AC5AAD" w:rsidRPr="004F166A" w:rsidRDefault="00AC5AAD" w:rsidP="001142A5">
      <w:pPr>
        <w:pStyle w:val="FootnoteText"/>
        <w:jc w:val="both"/>
        <w:rPr>
          <w:b/>
          <w:bCs/>
          <w:color w:val="0000FF"/>
          <w:sz w:val="22"/>
          <w:szCs w:val="22"/>
        </w:rPr>
      </w:pPr>
    </w:p>
    <w:p w:rsidR="000B2912" w:rsidRPr="004F166A" w:rsidRDefault="00AD517C" w:rsidP="00944B84">
      <w:pPr>
        <w:jc w:val="both"/>
        <w:rPr>
          <w:sz w:val="22"/>
          <w:szCs w:val="22"/>
        </w:rPr>
      </w:pPr>
      <w:r w:rsidRPr="004F166A">
        <w:rPr>
          <w:sz w:val="22"/>
          <w:szCs w:val="22"/>
        </w:rPr>
        <w:t>In Western Europe</w:t>
      </w:r>
      <w:r w:rsidR="00AC5AAD" w:rsidRPr="004F166A">
        <w:rPr>
          <w:sz w:val="22"/>
          <w:szCs w:val="22"/>
        </w:rPr>
        <w:t>,</w:t>
      </w:r>
      <w:r w:rsidRPr="004F166A">
        <w:rPr>
          <w:sz w:val="22"/>
          <w:szCs w:val="22"/>
        </w:rPr>
        <w:t xml:space="preserve"> </w:t>
      </w:r>
      <w:r w:rsidR="00E04A4F" w:rsidRPr="004F166A">
        <w:rPr>
          <w:sz w:val="22"/>
          <w:szCs w:val="22"/>
        </w:rPr>
        <w:t>Belgium recorded the largest net asset growth</w:t>
      </w:r>
      <w:r w:rsidR="004F166A">
        <w:rPr>
          <w:sz w:val="22"/>
          <w:szCs w:val="22"/>
        </w:rPr>
        <w:t xml:space="preserve"> in Q4 2017</w:t>
      </w:r>
      <w:r w:rsidR="00E04A4F" w:rsidRPr="004F166A">
        <w:rPr>
          <w:sz w:val="22"/>
          <w:szCs w:val="22"/>
        </w:rPr>
        <w:t xml:space="preserve"> (12.5</w:t>
      </w:r>
      <w:r w:rsidRPr="004F166A">
        <w:rPr>
          <w:sz w:val="22"/>
          <w:szCs w:val="22"/>
        </w:rPr>
        <w:t xml:space="preserve">%), </w:t>
      </w:r>
      <w:r w:rsidR="00E04A4F" w:rsidRPr="004F166A">
        <w:rPr>
          <w:sz w:val="22"/>
          <w:szCs w:val="22"/>
        </w:rPr>
        <w:t>followed by Ireland (4.8%) and the UK (4.1%)</w:t>
      </w:r>
      <w:r w:rsidRPr="004F166A">
        <w:rPr>
          <w:sz w:val="22"/>
          <w:szCs w:val="22"/>
        </w:rPr>
        <w:t xml:space="preserve">. </w:t>
      </w:r>
      <w:r w:rsidR="00EB1B71" w:rsidRPr="004F166A">
        <w:rPr>
          <w:sz w:val="22"/>
          <w:szCs w:val="22"/>
        </w:rPr>
        <w:t xml:space="preserve">With the exception of </w:t>
      </w:r>
      <w:r w:rsidR="005515F4" w:rsidRPr="004F166A">
        <w:rPr>
          <w:sz w:val="22"/>
          <w:szCs w:val="22"/>
        </w:rPr>
        <w:t>Turkey</w:t>
      </w:r>
      <w:r w:rsidR="00EB1B71" w:rsidRPr="004F166A">
        <w:rPr>
          <w:sz w:val="22"/>
          <w:szCs w:val="22"/>
        </w:rPr>
        <w:t xml:space="preserve">, all domiciles in the </w:t>
      </w:r>
      <w:r w:rsidR="001B09E3" w:rsidRPr="004F166A">
        <w:rPr>
          <w:sz w:val="22"/>
          <w:szCs w:val="22"/>
        </w:rPr>
        <w:t>Southern European</w:t>
      </w:r>
      <w:r w:rsidR="00EB1B71" w:rsidRPr="004F166A">
        <w:rPr>
          <w:sz w:val="22"/>
          <w:szCs w:val="22"/>
        </w:rPr>
        <w:t xml:space="preserve"> region experienced net asset growth with the largest growth in Cypr</w:t>
      </w:r>
      <w:r w:rsidR="00037A72" w:rsidRPr="004F166A">
        <w:rPr>
          <w:sz w:val="22"/>
          <w:szCs w:val="22"/>
        </w:rPr>
        <w:t>us (1</w:t>
      </w:r>
      <w:r w:rsidR="005515F4" w:rsidRPr="004F166A">
        <w:rPr>
          <w:sz w:val="22"/>
          <w:szCs w:val="22"/>
        </w:rPr>
        <w:t>6</w:t>
      </w:r>
      <w:r w:rsidR="00037A72" w:rsidRPr="004F166A">
        <w:rPr>
          <w:sz w:val="22"/>
          <w:szCs w:val="22"/>
        </w:rPr>
        <w:t>.0%)</w:t>
      </w:r>
      <w:r w:rsidR="005515F4" w:rsidRPr="004F166A">
        <w:rPr>
          <w:sz w:val="22"/>
          <w:szCs w:val="22"/>
        </w:rPr>
        <w:t xml:space="preserve">, followed by </w:t>
      </w:r>
      <w:r w:rsidR="00C33158">
        <w:rPr>
          <w:sz w:val="22"/>
          <w:szCs w:val="22"/>
        </w:rPr>
        <w:t xml:space="preserve">Greece (4.4%), Portugal (4.4%), and </w:t>
      </w:r>
      <w:r w:rsidR="005515F4" w:rsidRPr="004F166A">
        <w:rPr>
          <w:sz w:val="22"/>
          <w:szCs w:val="22"/>
        </w:rPr>
        <w:t>Spain (4.2%)</w:t>
      </w:r>
      <w:r w:rsidR="00037A72" w:rsidRPr="004F166A">
        <w:rPr>
          <w:sz w:val="22"/>
          <w:szCs w:val="22"/>
        </w:rPr>
        <w:t xml:space="preserve">. </w:t>
      </w:r>
      <w:r w:rsidR="005515F4" w:rsidRPr="004F166A">
        <w:rPr>
          <w:sz w:val="22"/>
          <w:szCs w:val="22"/>
        </w:rPr>
        <w:t>With the exception of Norway, n</w:t>
      </w:r>
      <w:r w:rsidR="00037A72" w:rsidRPr="004F166A">
        <w:rPr>
          <w:sz w:val="22"/>
          <w:szCs w:val="22"/>
        </w:rPr>
        <w:t>et asset growth was</w:t>
      </w:r>
      <w:r w:rsidR="00EB1B71" w:rsidRPr="004F166A">
        <w:rPr>
          <w:sz w:val="22"/>
          <w:szCs w:val="22"/>
        </w:rPr>
        <w:t xml:space="preserve"> </w:t>
      </w:r>
      <w:r w:rsidR="004F166A">
        <w:rPr>
          <w:sz w:val="22"/>
          <w:szCs w:val="22"/>
        </w:rPr>
        <w:t>also positive</w:t>
      </w:r>
      <w:r w:rsidR="00EB1B71" w:rsidRPr="004F166A">
        <w:rPr>
          <w:sz w:val="22"/>
          <w:szCs w:val="22"/>
        </w:rPr>
        <w:t xml:space="preserve"> i</w:t>
      </w:r>
      <w:r w:rsidR="00DC2BB1" w:rsidRPr="004F166A">
        <w:rPr>
          <w:sz w:val="22"/>
          <w:szCs w:val="22"/>
        </w:rPr>
        <w:t>n the N</w:t>
      </w:r>
      <w:r w:rsidRPr="004F166A">
        <w:rPr>
          <w:sz w:val="22"/>
          <w:szCs w:val="22"/>
        </w:rPr>
        <w:t>ordic countries</w:t>
      </w:r>
      <w:r w:rsidR="00DC2BB1" w:rsidRPr="004F166A">
        <w:rPr>
          <w:sz w:val="22"/>
          <w:szCs w:val="22"/>
        </w:rPr>
        <w:t xml:space="preserve">, </w:t>
      </w:r>
      <w:r w:rsidR="006E684B" w:rsidRPr="004F166A">
        <w:rPr>
          <w:sz w:val="22"/>
          <w:szCs w:val="22"/>
        </w:rPr>
        <w:t>with the largest net asset increase</w:t>
      </w:r>
      <w:r w:rsidR="00DC2BB1" w:rsidRPr="004F166A">
        <w:rPr>
          <w:sz w:val="22"/>
          <w:szCs w:val="22"/>
        </w:rPr>
        <w:t xml:space="preserve"> registered in </w:t>
      </w:r>
      <w:r w:rsidR="00E72912" w:rsidRPr="004F166A">
        <w:rPr>
          <w:sz w:val="22"/>
          <w:szCs w:val="22"/>
        </w:rPr>
        <w:t>Finland</w:t>
      </w:r>
      <w:r w:rsidR="00EB1B71" w:rsidRPr="004F166A">
        <w:rPr>
          <w:sz w:val="22"/>
          <w:szCs w:val="22"/>
        </w:rPr>
        <w:t xml:space="preserve"> (</w:t>
      </w:r>
      <w:r w:rsidR="00E72912" w:rsidRPr="004F166A">
        <w:rPr>
          <w:sz w:val="22"/>
          <w:szCs w:val="22"/>
        </w:rPr>
        <w:t>4.6</w:t>
      </w:r>
      <w:r w:rsidR="00DC2BB1" w:rsidRPr="004F166A">
        <w:rPr>
          <w:sz w:val="22"/>
          <w:szCs w:val="22"/>
        </w:rPr>
        <w:t>%)</w:t>
      </w:r>
      <w:r w:rsidR="00827F03" w:rsidRPr="004F166A">
        <w:rPr>
          <w:sz w:val="22"/>
          <w:szCs w:val="22"/>
        </w:rPr>
        <w:t xml:space="preserve">. </w:t>
      </w:r>
      <w:r w:rsidR="00DC2BB1" w:rsidRPr="004F166A">
        <w:rPr>
          <w:sz w:val="22"/>
          <w:szCs w:val="22"/>
        </w:rPr>
        <w:t>In Central and Eastern Europe, th</w:t>
      </w:r>
      <w:r w:rsidR="001142A5" w:rsidRPr="004F166A">
        <w:rPr>
          <w:sz w:val="22"/>
          <w:szCs w:val="22"/>
        </w:rPr>
        <w:t>e larg</w:t>
      </w:r>
      <w:r w:rsidR="006E684B" w:rsidRPr="004F166A">
        <w:rPr>
          <w:sz w:val="22"/>
          <w:szCs w:val="22"/>
        </w:rPr>
        <w:t>est increase</w:t>
      </w:r>
      <w:r w:rsidR="001142A5" w:rsidRPr="004F166A">
        <w:rPr>
          <w:sz w:val="22"/>
          <w:szCs w:val="22"/>
        </w:rPr>
        <w:t xml:space="preserve"> in net assets </w:t>
      </w:r>
      <w:r w:rsidR="00DC2BB1" w:rsidRPr="004F166A">
        <w:rPr>
          <w:sz w:val="22"/>
          <w:szCs w:val="22"/>
        </w:rPr>
        <w:t>w</w:t>
      </w:r>
      <w:r w:rsidR="006E684B" w:rsidRPr="004F166A">
        <w:rPr>
          <w:sz w:val="22"/>
          <w:szCs w:val="22"/>
        </w:rPr>
        <w:t>as</w:t>
      </w:r>
      <w:r w:rsidR="00DC2BB1" w:rsidRPr="004F166A">
        <w:rPr>
          <w:sz w:val="22"/>
          <w:szCs w:val="22"/>
        </w:rPr>
        <w:t xml:space="preserve"> recorded </w:t>
      </w:r>
      <w:r w:rsidR="000B2912" w:rsidRPr="004F166A">
        <w:rPr>
          <w:sz w:val="22"/>
          <w:szCs w:val="22"/>
        </w:rPr>
        <w:t xml:space="preserve">in </w:t>
      </w:r>
      <w:r w:rsidR="00E72912" w:rsidRPr="004F166A">
        <w:rPr>
          <w:sz w:val="22"/>
          <w:szCs w:val="22"/>
        </w:rPr>
        <w:t>Czechia (6.7</w:t>
      </w:r>
      <w:r w:rsidR="000B2912" w:rsidRPr="004F166A">
        <w:rPr>
          <w:sz w:val="22"/>
          <w:szCs w:val="22"/>
        </w:rPr>
        <w:t>%)</w:t>
      </w:r>
      <w:r w:rsidR="00C96571" w:rsidRPr="004F166A">
        <w:rPr>
          <w:sz w:val="22"/>
          <w:szCs w:val="22"/>
        </w:rPr>
        <w:t>.</w:t>
      </w:r>
      <w:r w:rsidR="000B2912" w:rsidRPr="004F166A">
        <w:rPr>
          <w:sz w:val="22"/>
          <w:szCs w:val="22"/>
        </w:rPr>
        <w:t xml:space="preserve"> </w:t>
      </w:r>
    </w:p>
    <w:p w:rsidR="00E655CF" w:rsidRPr="004F166A" w:rsidRDefault="00E655CF" w:rsidP="00944B84">
      <w:pPr>
        <w:jc w:val="both"/>
        <w:rPr>
          <w:sz w:val="22"/>
          <w:szCs w:val="22"/>
        </w:rPr>
      </w:pPr>
    </w:p>
    <w:p w:rsidR="00E655CF" w:rsidRPr="004F166A" w:rsidRDefault="004F166A" w:rsidP="00944B84">
      <w:pPr>
        <w:jc w:val="both"/>
        <w:rPr>
          <w:sz w:val="22"/>
          <w:szCs w:val="22"/>
        </w:rPr>
      </w:pPr>
      <w:r>
        <w:rPr>
          <w:sz w:val="22"/>
          <w:szCs w:val="22"/>
        </w:rPr>
        <w:t xml:space="preserve">Of the </w:t>
      </w:r>
      <w:r w:rsidR="00E655CF" w:rsidRPr="004F166A">
        <w:rPr>
          <w:sz w:val="22"/>
          <w:szCs w:val="22"/>
        </w:rPr>
        <w:t>largest UCITS domiciles,</w:t>
      </w:r>
      <w:r w:rsidR="00D44600" w:rsidRPr="004F166A">
        <w:rPr>
          <w:sz w:val="22"/>
          <w:szCs w:val="22"/>
        </w:rPr>
        <w:t xml:space="preserve"> </w:t>
      </w:r>
      <w:r w:rsidR="00E655CF" w:rsidRPr="004F166A">
        <w:rPr>
          <w:sz w:val="22"/>
          <w:szCs w:val="22"/>
        </w:rPr>
        <w:t xml:space="preserve">Ireland recorded the largest </w:t>
      </w:r>
      <w:r w:rsidR="00C33158">
        <w:rPr>
          <w:sz w:val="22"/>
          <w:szCs w:val="22"/>
        </w:rPr>
        <w:t xml:space="preserve">net asset </w:t>
      </w:r>
      <w:r w:rsidR="00E655CF" w:rsidRPr="004F166A">
        <w:rPr>
          <w:sz w:val="22"/>
          <w:szCs w:val="22"/>
        </w:rPr>
        <w:t xml:space="preserve">increases </w:t>
      </w:r>
      <w:r w:rsidR="00C33158">
        <w:rPr>
          <w:sz w:val="22"/>
          <w:szCs w:val="22"/>
        </w:rPr>
        <w:t>in</w:t>
      </w:r>
      <w:r w:rsidR="00E655CF" w:rsidRPr="004F166A">
        <w:rPr>
          <w:sz w:val="22"/>
          <w:szCs w:val="22"/>
        </w:rPr>
        <w:t xml:space="preserve"> 2017</w:t>
      </w:r>
      <w:r w:rsidR="00C33158">
        <w:rPr>
          <w:sz w:val="22"/>
          <w:szCs w:val="22"/>
        </w:rPr>
        <w:t xml:space="preserve"> </w:t>
      </w:r>
      <w:r w:rsidR="00E655CF" w:rsidRPr="004F166A">
        <w:rPr>
          <w:sz w:val="22"/>
          <w:szCs w:val="22"/>
        </w:rPr>
        <w:t>(</w:t>
      </w:r>
      <w:r w:rsidR="00D44600" w:rsidRPr="004F166A">
        <w:rPr>
          <w:sz w:val="22"/>
          <w:szCs w:val="22"/>
        </w:rPr>
        <w:t>15.9</w:t>
      </w:r>
      <w:r w:rsidR="00E655CF" w:rsidRPr="004F166A">
        <w:rPr>
          <w:sz w:val="22"/>
          <w:szCs w:val="22"/>
        </w:rPr>
        <w:t xml:space="preserve">%), followed by </w:t>
      </w:r>
      <w:r w:rsidR="00D44600" w:rsidRPr="004F166A">
        <w:rPr>
          <w:sz w:val="22"/>
          <w:szCs w:val="22"/>
        </w:rPr>
        <w:t xml:space="preserve">Luxembourg (11.9%), the UK (11.6%), </w:t>
      </w:r>
      <w:r w:rsidR="00C33158">
        <w:rPr>
          <w:sz w:val="22"/>
          <w:szCs w:val="22"/>
        </w:rPr>
        <w:t xml:space="preserve">and </w:t>
      </w:r>
      <w:r w:rsidR="00D44600" w:rsidRPr="004F166A">
        <w:rPr>
          <w:sz w:val="22"/>
          <w:szCs w:val="22"/>
        </w:rPr>
        <w:t>France (9.8</w:t>
      </w:r>
      <w:r w:rsidR="00804C68" w:rsidRPr="004F166A">
        <w:rPr>
          <w:sz w:val="22"/>
          <w:szCs w:val="22"/>
        </w:rPr>
        <w:t>%)</w:t>
      </w:r>
      <w:r w:rsidR="00D44600" w:rsidRPr="004F166A">
        <w:rPr>
          <w:sz w:val="22"/>
          <w:szCs w:val="22"/>
        </w:rPr>
        <w:t>. Elsewhere in Europe</w:t>
      </w:r>
      <w:r w:rsidR="00E655CF" w:rsidRPr="004F166A">
        <w:rPr>
          <w:sz w:val="22"/>
          <w:szCs w:val="22"/>
        </w:rPr>
        <w:t xml:space="preserve">, </w:t>
      </w:r>
      <w:r w:rsidR="00C33158">
        <w:rPr>
          <w:sz w:val="22"/>
          <w:szCs w:val="22"/>
        </w:rPr>
        <w:t>net asset growth greater than 20% was recorded in Cyprus, Belgium, Czechia, Bulgaria, Poland, Portugal, and Malta</w:t>
      </w:r>
      <w:r w:rsidR="00D44600" w:rsidRPr="004F166A">
        <w:rPr>
          <w:sz w:val="22"/>
          <w:szCs w:val="22"/>
        </w:rPr>
        <w:t xml:space="preserve">. </w:t>
      </w:r>
    </w:p>
    <w:p w:rsidR="001142A5" w:rsidRDefault="001142A5" w:rsidP="00944B84">
      <w:pPr>
        <w:pStyle w:val="FootnoteText"/>
        <w:tabs>
          <w:tab w:val="left" w:pos="360"/>
        </w:tabs>
        <w:jc w:val="both"/>
      </w:pPr>
    </w:p>
    <w:p w:rsidR="001142A5" w:rsidRDefault="00DC3A95" w:rsidP="00AD3D5F">
      <w:pPr>
        <w:pStyle w:val="FootnoteText"/>
        <w:tabs>
          <w:tab w:val="left" w:pos="360"/>
        </w:tabs>
        <w:jc w:val="center"/>
      </w:pPr>
      <w:r w:rsidRPr="00DC3A95">
        <w:rPr>
          <w:noProof/>
        </w:rPr>
        <w:drawing>
          <wp:anchor distT="0" distB="0" distL="114300" distR="114300" simplePos="0" relativeHeight="251795456" behindDoc="0" locked="0" layoutInCell="1" allowOverlap="1">
            <wp:simplePos x="0" y="0"/>
            <wp:positionH relativeFrom="column">
              <wp:posOffset>485445</wp:posOffset>
            </wp:positionH>
            <wp:positionV relativeFrom="paragraph">
              <wp:posOffset>109220</wp:posOffset>
            </wp:positionV>
            <wp:extent cx="5230800" cy="593280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0800" cy="59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1142A5" w:rsidRDefault="001142A5" w:rsidP="00AD3D5F">
      <w:pPr>
        <w:pStyle w:val="FootnoteText"/>
        <w:tabs>
          <w:tab w:val="left" w:pos="360"/>
        </w:tabs>
        <w:jc w:val="center"/>
      </w:pPr>
    </w:p>
    <w:p w:rsidR="00672EEC" w:rsidRDefault="00672EEC" w:rsidP="00AD3D5F">
      <w:pPr>
        <w:pStyle w:val="FootnoteText"/>
        <w:tabs>
          <w:tab w:val="left" w:pos="360"/>
        </w:tabs>
        <w:jc w:val="center"/>
      </w:pPr>
    </w:p>
    <w:p w:rsidR="001142A5" w:rsidRPr="004C7355" w:rsidRDefault="001142A5"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r w:rsidRPr="004C7355">
        <w:rPr>
          <w:b/>
          <w:bCs/>
          <w:sz w:val="28"/>
          <w:szCs w:val="28"/>
          <w:lang w:val="en-US"/>
          <w14:shadow w14:blurRad="50800" w14:dist="38100" w14:dir="2700000" w14:sx="100000" w14:sy="100000" w14:kx="0" w14:ky="0" w14:algn="tl">
            <w14:srgbClr w14:val="000000">
              <w14:alpha w14:val="60000"/>
            </w14:srgbClr>
          </w14:shadow>
        </w:rPr>
        <w:lastRenderedPageBreak/>
        <w:t>Trends in the AIF Market</w:t>
      </w:r>
    </w:p>
    <w:p w:rsidR="001142A5" w:rsidRPr="004C7355" w:rsidRDefault="001142A5" w:rsidP="001142A5">
      <w:pPr>
        <w:pStyle w:val="Footer"/>
        <w:jc w:val="center"/>
        <w:outlineLvl w:val="0"/>
        <w:rPr>
          <w:b/>
          <w:bCs/>
          <w:i/>
          <w:iCs/>
          <w:sz w:val="28"/>
          <w:szCs w:val="28"/>
          <w:lang w:val="en-US"/>
          <w14:shadow w14:blurRad="50800" w14:dist="38100" w14:dir="2700000" w14:sx="100000" w14:sy="100000" w14:kx="0" w14:ky="0" w14:algn="tl">
            <w14:srgbClr w14:val="000000">
              <w14:alpha w14:val="60000"/>
            </w14:srgbClr>
          </w14:shadow>
        </w:rPr>
      </w:pPr>
      <w:r w:rsidRPr="004C7355">
        <w:rPr>
          <w:b/>
          <w:bCs/>
          <w:i/>
          <w:iCs/>
          <w:sz w:val="28"/>
          <w:szCs w:val="28"/>
          <w:lang w:val="en-US"/>
          <w14:shadow w14:blurRad="50800" w14:dist="38100" w14:dir="2700000" w14:sx="100000" w14:sy="100000" w14:kx="0" w14:ky="0" w14:algn="tl">
            <w14:srgbClr w14:val="000000">
              <w14:alpha w14:val="60000"/>
            </w14:srgbClr>
          </w14:shadow>
        </w:rPr>
        <w:t>Net Sales by Investment Type</w:t>
      </w:r>
    </w:p>
    <w:p w:rsidR="001142A5" w:rsidRDefault="001142A5" w:rsidP="001142A5">
      <w:pPr>
        <w:pStyle w:val="Footer"/>
        <w:tabs>
          <w:tab w:val="left" w:pos="720"/>
          <w:tab w:val="left" w:pos="4320"/>
        </w:tabs>
        <w:spacing w:line="260" w:lineRule="exact"/>
        <w:jc w:val="both"/>
        <w:rPr>
          <w:sz w:val="22"/>
          <w:szCs w:val="22"/>
          <w:lang w:val="en-US"/>
        </w:rPr>
      </w:pPr>
    </w:p>
    <w:p w:rsidR="00121780" w:rsidRPr="00121780" w:rsidRDefault="001142A5" w:rsidP="005A545B">
      <w:pPr>
        <w:spacing w:after="160" w:line="252" w:lineRule="auto"/>
        <w:contextualSpacing/>
        <w:jc w:val="both"/>
        <w:rPr>
          <w:b/>
          <w:bCs/>
          <w:color w:val="0000FF"/>
          <w:sz w:val="22"/>
          <w:szCs w:val="22"/>
        </w:rPr>
      </w:pPr>
      <w:r w:rsidRPr="00121780">
        <w:rPr>
          <w:b/>
          <w:bCs/>
          <w:color w:val="0000FF"/>
          <w:sz w:val="22"/>
          <w:szCs w:val="22"/>
        </w:rPr>
        <w:t>AI</w:t>
      </w:r>
      <w:r w:rsidR="00537E5C" w:rsidRPr="00121780">
        <w:rPr>
          <w:b/>
          <w:bCs/>
          <w:color w:val="0000FF"/>
          <w:sz w:val="22"/>
          <w:szCs w:val="22"/>
        </w:rPr>
        <w:t>F recorded net sale</w:t>
      </w:r>
      <w:r w:rsidR="008C259B">
        <w:rPr>
          <w:b/>
          <w:bCs/>
          <w:color w:val="0000FF"/>
          <w:sz w:val="22"/>
          <w:szCs w:val="22"/>
        </w:rPr>
        <w:t>s of EUR 19</w:t>
      </w:r>
      <w:r w:rsidRPr="00121780">
        <w:rPr>
          <w:b/>
          <w:bCs/>
          <w:color w:val="0000FF"/>
          <w:sz w:val="22"/>
          <w:szCs w:val="22"/>
        </w:rPr>
        <w:t xml:space="preserve"> billion in </w:t>
      </w:r>
      <w:r w:rsidR="000D2165">
        <w:rPr>
          <w:b/>
          <w:bCs/>
          <w:color w:val="0000FF"/>
          <w:sz w:val="22"/>
          <w:szCs w:val="22"/>
        </w:rPr>
        <w:t>Q4 2017</w:t>
      </w:r>
      <w:r w:rsidR="0048465B" w:rsidRPr="00121780">
        <w:rPr>
          <w:b/>
          <w:bCs/>
          <w:color w:val="0000FF"/>
          <w:sz w:val="22"/>
          <w:szCs w:val="22"/>
        </w:rPr>
        <w:t xml:space="preserve">. </w:t>
      </w:r>
      <w:r w:rsidR="008C259B">
        <w:rPr>
          <w:b/>
          <w:bCs/>
          <w:color w:val="0000FF"/>
          <w:sz w:val="22"/>
          <w:szCs w:val="22"/>
        </w:rPr>
        <w:t>In 2</w:t>
      </w:r>
      <w:r w:rsidR="00121780" w:rsidRPr="00121780">
        <w:rPr>
          <w:b/>
          <w:bCs/>
          <w:color w:val="0000FF"/>
          <w:sz w:val="22"/>
          <w:szCs w:val="22"/>
        </w:rPr>
        <w:t>017, AI</w:t>
      </w:r>
      <w:r w:rsidR="008C259B">
        <w:rPr>
          <w:b/>
          <w:bCs/>
          <w:color w:val="0000FF"/>
          <w:sz w:val="22"/>
          <w:szCs w:val="22"/>
        </w:rPr>
        <w:t>F attracted net sales of EUR 211</w:t>
      </w:r>
      <w:r w:rsidR="00121780" w:rsidRPr="00121780">
        <w:rPr>
          <w:b/>
          <w:bCs/>
          <w:color w:val="0000FF"/>
          <w:sz w:val="22"/>
          <w:szCs w:val="22"/>
        </w:rPr>
        <w:t xml:space="preserve"> billion, </w:t>
      </w:r>
      <w:r w:rsidR="008C259B">
        <w:rPr>
          <w:b/>
          <w:bCs/>
          <w:color w:val="0000FF"/>
          <w:sz w:val="22"/>
          <w:szCs w:val="22"/>
        </w:rPr>
        <w:t>the highest amount in any given year so far.</w:t>
      </w:r>
    </w:p>
    <w:p w:rsidR="001142A5" w:rsidRDefault="001142A5" w:rsidP="00A6730B">
      <w:pPr>
        <w:jc w:val="both"/>
        <w:rPr>
          <w:b/>
          <w:bCs/>
          <w:color w:val="0000FF"/>
          <w:sz w:val="22"/>
          <w:szCs w:val="22"/>
        </w:rPr>
      </w:pPr>
    </w:p>
    <w:p w:rsidR="001142A5" w:rsidRDefault="001142A5" w:rsidP="001142A5">
      <w:pPr>
        <w:pStyle w:val="Footer"/>
        <w:tabs>
          <w:tab w:val="left" w:pos="720"/>
          <w:tab w:val="left" w:pos="4320"/>
        </w:tabs>
        <w:spacing w:line="260" w:lineRule="exact"/>
        <w:jc w:val="both"/>
        <w:rPr>
          <w:bCs/>
          <w:color w:val="000000"/>
          <w:sz w:val="22"/>
          <w:szCs w:val="22"/>
        </w:rPr>
      </w:pPr>
      <w:r>
        <w:rPr>
          <w:bCs/>
          <w:color w:val="000000"/>
          <w:sz w:val="22"/>
          <w:szCs w:val="22"/>
        </w:rPr>
        <w:t>Long-term AIF</w:t>
      </w:r>
      <w:r w:rsidRPr="007D3A6C">
        <w:rPr>
          <w:bCs/>
          <w:color w:val="000000"/>
          <w:sz w:val="22"/>
          <w:szCs w:val="22"/>
        </w:rPr>
        <w:t xml:space="preserve"> </w:t>
      </w:r>
      <w:r w:rsidR="009C0167">
        <w:rPr>
          <w:bCs/>
          <w:color w:val="000000"/>
          <w:sz w:val="22"/>
          <w:szCs w:val="22"/>
        </w:rPr>
        <w:t>recorded net sales</w:t>
      </w:r>
      <w:r w:rsidR="008C259B">
        <w:rPr>
          <w:bCs/>
          <w:color w:val="000000"/>
          <w:sz w:val="22"/>
          <w:szCs w:val="22"/>
        </w:rPr>
        <w:t xml:space="preserve"> of EUR 20</w:t>
      </w:r>
      <w:r w:rsidR="000E6CAA">
        <w:rPr>
          <w:bCs/>
          <w:color w:val="000000"/>
          <w:sz w:val="22"/>
          <w:szCs w:val="22"/>
        </w:rPr>
        <w:t xml:space="preserve"> billion</w:t>
      </w:r>
      <w:r w:rsidR="00386104">
        <w:rPr>
          <w:bCs/>
          <w:color w:val="000000"/>
          <w:sz w:val="22"/>
          <w:szCs w:val="22"/>
        </w:rPr>
        <w:t xml:space="preserve"> in Q4 2017</w:t>
      </w:r>
      <w:r w:rsidR="000E6CAA">
        <w:rPr>
          <w:bCs/>
          <w:color w:val="000000"/>
          <w:sz w:val="22"/>
          <w:szCs w:val="22"/>
        </w:rPr>
        <w:t>, down</w:t>
      </w:r>
      <w:r>
        <w:rPr>
          <w:bCs/>
          <w:color w:val="000000"/>
          <w:sz w:val="22"/>
          <w:szCs w:val="22"/>
        </w:rPr>
        <w:t xml:space="preserve"> from</w:t>
      </w:r>
      <w:r w:rsidRPr="00A7353F">
        <w:rPr>
          <w:bCs/>
          <w:color w:val="000000"/>
          <w:sz w:val="22"/>
          <w:szCs w:val="22"/>
        </w:rPr>
        <w:t xml:space="preserve"> EUR </w:t>
      </w:r>
      <w:r w:rsidR="008C259B">
        <w:rPr>
          <w:bCs/>
          <w:color w:val="000000"/>
          <w:sz w:val="22"/>
          <w:szCs w:val="22"/>
        </w:rPr>
        <w:t>53</w:t>
      </w:r>
      <w:r w:rsidRPr="00A7353F">
        <w:rPr>
          <w:bCs/>
          <w:color w:val="000000"/>
          <w:sz w:val="22"/>
          <w:szCs w:val="22"/>
        </w:rPr>
        <w:t xml:space="preserve"> billion in </w:t>
      </w:r>
      <w:r w:rsidR="000D2165">
        <w:rPr>
          <w:bCs/>
          <w:color w:val="000000"/>
          <w:sz w:val="22"/>
          <w:szCs w:val="22"/>
        </w:rPr>
        <w:t>Q3 2017</w:t>
      </w:r>
      <w:r w:rsidRPr="00A7353F">
        <w:rPr>
          <w:bCs/>
          <w:color w:val="000000"/>
          <w:sz w:val="22"/>
          <w:szCs w:val="22"/>
        </w:rPr>
        <w:t xml:space="preserve">. </w:t>
      </w:r>
      <w:r>
        <w:rPr>
          <w:bCs/>
          <w:color w:val="000000"/>
          <w:sz w:val="22"/>
          <w:szCs w:val="22"/>
        </w:rPr>
        <w:t>Net sales</w:t>
      </w:r>
      <w:r w:rsidR="00712AAB">
        <w:rPr>
          <w:bCs/>
          <w:color w:val="000000"/>
          <w:sz w:val="22"/>
          <w:szCs w:val="22"/>
        </w:rPr>
        <w:t xml:space="preserve"> of equity funds increased from</w:t>
      </w:r>
      <w:r w:rsidR="008C259B">
        <w:rPr>
          <w:bCs/>
          <w:color w:val="000000"/>
          <w:sz w:val="22"/>
          <w:szCs w:val="22"/>
        </w:rPr>
        <w:t xml:space="preserve"> EUR 11 billion</w:t>
      </w:r>
      <w:r>
        <w:rPr>
          <w:bCs/>
          <w:color w:val="000000"/>
          <w:sz w:val="22"/>
          <w:szCs w:val="22"/>
        </w:rPr>
        <w:t xml:space="preserve"> in the </w:t>
      </w:r>
      <w:r w:rsidR="00FD4A0B">
        <w:rPr>
          <w:bCs/>
          <w:color w:val="000000"/>
          <w:sz w:val="22"/>
          <w:szCs w:val="22"/>
        </w:rPr>
        <w:t>third</w:t>
      </w:r>
      <w:r w:rsidR="000E6CAA">
        <w:rPr>
          <w:bCs/>
          <w:color w:val="000000"/>
          <w:sz w:val="22"/>
          <w:szCs w:val="22"/>
        </w:rPr>
        <w:t xml:space="preserve"> quarter to EUR 1</w:t>
      </w:r>
      <w:r w:rsidR="008C259B">
        <w:rPr>
          <w:bCs/>
          <w:color w:val="000000"/>
          <w:sz w:val="22"/>
          <w:szCs w:val="22"/>
        </w:rPr>
        <w:t>3</w:t>
      </w:r>
      <w:r>
        <w:rPr>
          <w:bCs/>
          <w:color w:val="000000"/>
          <w:sz w:val="22"/>
          <w:szCs w:val="22"/>
        </w:rPr>
        <w:t xml:space="preserve"> billion in the </w:t>
      </w:r>
      <w:r w:rsidR="00FD4A0B">
        <w:rPr>
          <w:bCs/>
          <w:color w:val="000000"/>
          <w:sz w:val="22"/>
          <w:szCs w:val="22"/>
        </w:rPr>
        <w:t>fourth</w:t>
      </w:r>
      <w:r w:rsidR="000573B0">
        <w:rPr>
          <w:bCs/>
          <w:color w:val="000000"/>
          <w:sz w:val="22"/>
          <w:szCs w:val="22"/>
        </w:rPr>
        <w:t xml:space="preserve"> quarter</w:t>
      </w:r>
      <w:r>
        <w:rPr>
          <w:bCs/>
          <w:color w:val="000000"/>
          <w:sz w:val="22"/>
          <w:szCs w:val="22"/>
        </w:rPr>
        <w:t xml:space="preserve">. Net sales of multi-asset funds </w:t>
      </w:r>
      <w:r w:rsidR="00DC3A95">
        <w:rPr>
          <w:bCs/>
          <w:color w:val="000000"/>
          <w:sz w:val="22"/>
          <w:szCs w:val="22"/>
        </w:rPr>
        <w:t>in</w:t>
      </w:r>
      <w:r w:rsidR="008C259B">
        <w:rPr>
          <w:bCs/>
          <w:color w:val="000000"/>
          <w:sz w:val="22"/>
          <w:szCs w:val="22"/>
        </w:rPr>
        <w:t>creased from EUR 6</w:t>
      </w:r>
      <w:r>
        <w:rPr>
          <w:bCs/>
          <w:color w:val="000000"/>
          <w:sz w:val="22"/>
          <w:szCs w:val="22"/>
        </w:rPr>
        <w:t xml:space="preserve"> billion in </w:t>
      </w:r>
      <w:r w:rsidR="000D2165">
        <w:rPr>
          <w:bCs/>
          <w:color w:val="000000"/>
          <w:sz w:val="22"/>
          <w:szCs w:val="22"/>
        </w:rPr>
        <w:t>Q3 2017</w:t>
      </w:r>
      <w:r w:rsidR="007C5245">
        <w:rPr>
          <w:bCs/>
          <w:color w:val="000000"/>
          <w:sz w:val="22"/>
          <w:szCs w:val="22"/>
        </w:rPr>
        <w:t xml:space="preserve"> to EUR </w:t>
      </w:r>
      <w:r w:rsidR="008C259B">
        <w:rPr>
          <w:bCs/>
          <w:color w:val="000000"/>
          <w:sz w:val="22"/>
          <w:szCs w:val="22"/>
        </w:rPr>
        <w:t>10</w:t>
      </w:r>
      <w:r>
        <w:rPr>
          <w:bCs/>
          <w:color w:val="000000"/>
          <w:sz w:val="22"/>
          <w:szCs w:val="22"/>
        </w:rPr>
        <w:t xml:space="preserve"> billion in </w:t>
      </w:r>
      <w:r w:rsidR="000D2165">
        <w:rPr>
          <w:bCs/>
          <w:color w:val="000000"/>
          <w:sz w:val="22"/>
          <w:szCs w:val="22"/>
        </w:rPr>
        <w:t>Q4 2017</w:t>
      </w:r>
      <w:r>
        <w:rPr>
          <w:bCs/>
          <w:color w:val="000000"/>
          <w:sz w:val="22"/>
          <w:szCs w:val="22"/>
        </w:rPr>
        <w:t>.</w:t>
      </w:r>
      <w:r w:rsidRPr="00A7353F">
        <w:rPr>
          <w:bCs/>
          <w:color w:val="000000"/>
          <w:sz w:val="22"/>
          <w:szCs w:val="22"/>
        </w:rPr>
        <w:t xml:space="preserve"> </w:t>
      </w:r>
      <w:r w:rsidR="00712AAB">
        <w:rPr>
          <w:bCs/>
          <w:color w:val="000000"/>
          <w:sz w:val="22"/>
          <w:szCs w:val="22"/>
        </w:rPr>
        <w:t xml:space="preserve">Net </w:t>
      </w:r>
      <w:r w:rsidR="008C259B">
        <w:rPr>
          <w:bCs/>
          <w:color w:val="000000"/>
          <w:sz w:val="22"/>
          <w:szCs w:val="22"/>
        </w:rPr>
        <w:t>outflows from bond funds increased from EUR 1 billion in Q3 2017 to EUR 37 billion in Q4 2017, mostly due to withdrawals after a restructuring of pension fund investment portfolios</w:t>
      </w:r>
      <w:r w:rsidR="00C33158">
        <w:rPr>
          <w:bCs/>
          <w:color w:val="000000"/>
          <w:sz w:val="22"/>
          <w:szCs w:val="22"/>
        </w:rPr>
        <w:t xml:space="preserve"> in the Netherlands</w:t>
      </w:r>
      <w:r w:rsidR="008C259B">
        <w:rPr>
          <w:bCs/>
          <w:color w:val="000000"/>
          <w:sz w:val="22"/>
          <w:szCs w:val="22"/>
        </w:rPr>
        <w:t xml:space="preserve">. </w:t>
      </w:r>
      <w:r>
        <w:rPr>
          <w:bCs/>
          <w:color w:val="000000"/>
          <w:sz w:val="22"/>
          <w:szCs w:val="22"/>
        </w:rPr>
        <w:t xml:space="preserve">Net sales of other funds </w:t>
      </w:r>
      <w:r w:rsidR="008C259B">
        <w:rPr>
          <w:bCs/>
          <w:color w:val="000000"/>
          <w:sz w:val="22"/>
          <w:szCs w:val="22"/>
        </w:rPr>
        <w:t>decreased from EUR 31</w:t>
      </w:r>
      <w:r>
        <w:rPr>
          <w:bCs/>
          <w:color w:val="000000"/>
          <w:sz w:val="22"/>
          <w:szCs w:val="22"/>
        </w:rPr>
        <w:t xml:space="preserve"> billion in </w:t>
      </w:r>
      <w:r w:rsidR="000D2165">
        <w:rPr>
          <w:bCs/>
          <w:color w:val="000000"/>
          <w:sz w:val="22"/>
          <w:szCs w:val="22"/>
        </w:rPr>
        <w:t>Q3 2017</w:t>
      </w:r>
      <w:r w:rsidR="008C259B">
        <w:rPr>
          <w:bCs/>
          <w:color w:val="000000"/>
          <w:sz w:val="22"/>
          <w:szCs w:val="22"/>
        </w:rPr>
        <w:t xml:space="preserve"> to EUR 25</w:t>
      </w:r>
      <w:r>
        <w:rPr>
          <w:bCs/>
          <w:color w:val="000000"/>
          <w:sz w:val="22"/>
          <w:szCs w:val="22"/>
        </w:rPr>
        <w:t xml:space="preserve"> billion in </w:t>
      </w:r>
      <w:r w:rsidR="000D2165">
        <w:rPr>
          <w:bCs/>
          <w:color w:val="000000"/>
          <w:sz w:val="22"/>
          <w:szCs w:val="22"/>
        </w:rPr>
        <w:t>Q4 2017</w:t>
      </w:r>
      <w:r w:rsidR="000D46CD">
        <w:rPr>
          <w:bCs/>
          <w:color w:val="000000"/>
          <w:sz w:val="22"/>
          <w:szCs w:val="22"/>
        </w:rPr>
        <w:t>.</w:t>
      </w:r>
    </w:p>
    <w:p w:rsidR="001142A5" w:rsidRPr="00955553" w:rsidRDefault="001142A5" w:rsidP="001142A5">
      <w:pPr>
        <w:pStyle w:val="Footer"/>
        <w:tabs>
          <w:tab w:val="left" w:pos="720"/>
          <w:tab w:val="left" w:pos="4320"/>
        </w:tabs>
        <w:spacing w:line="260" w:lineRule="exact"/>
        <w:jc w:val="right"/>
        <w:rPr>
          <w:bCs/>
          <w:color w:val="000000"/>
          <w:sz w:val="22"/>
          <w:szCs w:val="22"/>
        </w:rPr>
      </w:pPr>
    </w:p>
    <w:p w:rsidR="001142A5" w:rsidRPr="004C7355" w:rsidRDefault="000A50A1" w:rsidP="001142A5">
      <w:pPr>
        <w:pStyle w:val="Footer"/>
        <w:jc w:val="center"/>
        <w:rPr>
          <w:b/>
          <w:bCs/>
          <w:iCs/>
          <w:sz w:val="28"/>
          <w:szCs w:val="28"/>
          <w:lang w:val="en-US"/>
          <w14:shadow w14:blurRad="50800" w14:dist="38100" w14:dir="2700000" w14:sx="100000" w14:sy="100000" w14:kx="0" w14:ky="0" w14:algn="tl">
            <w14:srgbClr w14:val="000000">
              <w14:alpha w14:val="60000"/>
            </w14:srgbClr>
          </w14:shadow>
        </w:rPr>
      </w:pPr>
      <w:r>
        <w:rPr>
          <w:b/>
          <w:bCs/>
          <w:iCs/>
          <w:noProof/>
          <w:sz w:val="28"/>
          <w:szCs w:val="28"/>
          <w:lang w:val="en-US"/>
        </w:rPr>
        <w:drawing>
          <wp:anchor distT="0" distB="0" distL="114300" distR="114300" simplePos="0" relativeHeight="251759616" behindDoc="0" locked="0" layoutInCell="1" allowOverlap="1" wp14:anchorId="3FC0252D">
            <wp:simplePos x="0" y="0"/>
            <wp:positionH relativeFrom="column">
              <wp:posOffset>3392620</wp:posOffset>
            </wp:positionH>
            <wp:positionV relativeFrom="paragraph">
              <wp:posOffset>98631</wp:posOffset>
            </wp:positionV>
            <wp:extent cx="3078000" cy="208800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8000" cy="2088000"/>
                    </a:xfrm>
                    <a:prstGeom prst="rect">
                      <a:avLst/>
                    </a:prstGeom>
                    <a:noFill/>
                  </pic:spPr>
                </pic:pic>
              </a:graphicData>
            </a:graphic>
            <wp14:sizeRelH relativeFrom="page">
              <wp14:pctWidth>0</wp14:pctWidth>
            </wp14:sizeRelH>
            <wp14:sizeRelV relativeFrom="page">
              <wp14:pctHeight>0</wp14:pctHeight>
            </wp14:sizeRelV>
          </wp:anchor>
        </w:drawing>
      </w:r>
      <w:r>
        <w:rPr>
          <w:b/>
          <w:bCs/>
          <w:iCs/>
          <w:noProof/>
          <w:sz w:val="28"/>
          <w:szCs w:val="28"/>
          <w:lang w:val="en-US"/>
        </w:rPr>
        <w:drawing>
          <wp:anchor distT="0" distB="0" distL="114300" distR="114300" simplePos="0" relativeHeight="251758592" behindDoc="0" locked="0" layoutInCell="1" allowOverlap="1" wp14:anchorId="47A2D22F">
            <wp:simplePos x="0" y="0"/>
            <wp:positionH relativeFrom="column">
              <wp:posOffset>-102279</wp:posOffset>
            </wp:positionH>
            <wp:positionV relativeFrom="paragraph">
              <wp:posOffset>98632</wp:posOffset>
            </wp:positionV>
            <wp:extent cx="3430800" cy="208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0800" cy="2088000"/>
                    </a:xfrm>
                    <a:prstGeom prst="rect">
                      <a:avLst/>
                    </a:prstGeom>
                    <a:noFill/>
                  </pic:spPr>
                </pic:pic>
              </a:graphicData>
            </a:graphic>
            <wp14:sizeRelH relativeFrom="page">
              <wp14:pctWidth>0</wp14:pctWidth>
            </wp14:sizeRelH>
            <wp14:sizeRelV relativeFrom="page">
              <wp14:pctHeight>0</wp14:pctHeight>
            </wp14:sizeRelV>
          </wp:anchor>
        </w:drawing>
      </w:r>
    </w:p>
    <w:p w:rsidR="004C7355" w:rsidRPr="004C7355" w:rsidRDefault="00571FC3" w:rsidP="004C7355">
      <w:pPr>
        <w:pStyle w:val="Footer"/>
        <w:jc w:val="center"/>
        <w:outlineLvl w:val="0"/>
        <w:rPr>
          <w:b/>
          <w:bCs/>
          <w:iCs/>
          <w:sz w:val="28"/>
        </w:rPr>
      </w:pPr>
      <w:r>
        <w:rPr>
          <w:b/>
          <w:bCs/>
          <w:iCs/>
          <w:noProof/>
          <w:sz w:val="28"/>
          <w:szCs w:val="28"/>
          <w:lang w:val="en-US"/>
        </w:rPr>
        <w:drawing>
          <wp:anchor distT="0" distB="0" distL="114300" distR="114300" simplePos="0" relativeHeight="251790336" behindDoc="0" locked="0" layoutInCell="1" allowOverlap="1" wp14:anchorId="30633DBA">
            <wp:simplePos x="0" y="0"/>
            <wp:positionH relativeFrom="column">
              <wp:posOffset>646</wp:posOffset>
            </wp:positionH>
            <wp:positionV relativeFrom="paragraph">
              <wp:posOffset>4371340</wp:posOffset>
            </wp:positionV>
            <wp:extent cx="3132000" cy="212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2000" cy="2124000"/>
                    </a:xfrm>
                    <a:prstGeom prst="rect">
                      <a:avLst/>
                    </a:prstGeom>
                    <a:noFill/>
                  </pic:spPr>
                </pic:pic>
              </a:graphicData>
            </a:graphic>
            <wp14:sizeRelH relativeFrom="page">
              <wp14:pctWidth>0</wp14:pctWidth>
            </wp14:sizeRelH>
            <wp14:sizeRelV relativeFrom="page">
              <wp14:pctHeight>0</wp14:pctHeight>
            </wp14:sizeRelV>
          </wp:anchor>
        </w:drawing>
      </w:r>
      <w:r w:rsidR="000A50A1">
        <w:rPr>
          <w:b/>
          <w:bCs/>
          <w:iCs/>
          <w:noProof/>
          <w:sz w:val="28"/>
          <w:szCs w:val="28"/>
          <w:lang w:val="en-US"/>
        </w:rPr>
        <w:drawing>
          <wp:anchor distT="0" distB="0" distL="114300" distR="114300" simplePos="0" relativeHeight="251760640" behindDoc="0" locked="0" layoutInCell="1" allowOverlap="1" wp14:anchorId="767E7030">
            <wp:simplePos x="0" y="0"/>
            <wp:positionH relativeFrom="column">
              <wp:posOffset>-106045</wp:posOffset>
            </wp:positionH>
            <wp:positionV relativeFrom="paragraph">
              <wp:posOffset>2145030</wp:posOffset>
            </wp:positionV>
            <wp:extent cx="3275965" cy="22205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5965" cy="2220595"/>
                    </a:xfrm>
                    <a:prstGeom prst="rect">
                      <a:avLst/>
                    </a:prstGeom>
                    <a:noFill/>
                  </pic:spPr>
                </pic:pic>
              </a:graphicData>
            </a:graphic>
            <wp14:sizeRelH relativeFrom="page">
              <wp14:pctWidth>0</wp14:pctWidth>
            </wp14:sizeRelH>
            <wp14:sizeRelV relativeFrom="page">
              <wp14:pctHeight>0</wp14:pctHeight>
            </wp14:sizeRelV>
          </wp:anchor>
        </w:drawing>
      </w:r>
      <w:r w:rsidR="000A50A1">
        <w:rPr>
          <w:b/>
          <w:bCs/>
          <w:iCs/>
          <w:noProof/>
          <w:sz w:val="28"/>
          <w:szCs w:val="28"/>
          <w:lang w:val="en-US"/>
        </w:rPr>
        <w:drawing>
          <wp:anchor distT="0" distB="0" distL="114300" distR="114300" simplePos="0" relativeHeight="251761664" behindDoc="0" locked="0" layoutInCell="1" allowOverlap="1" wp14:anchorId="6A03751B">
            <wp:simplePos x="0" y="0"/>
            <wp:positionH relativeFrom="column">
              <wp:posOffset>3338195</wp:posOffset>
            </wp:positionH>
            <wp:positionV relativeFrom="paragraph">
              <wp:posOffset>2244887</wp:posOffset>
            </wp:positionV>
            <wp:extent cx="3131820" cy="21234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1820" cy="2123440"/>
                    </a:xfrm>
                    <a:prstGeom prst="rect">
                      <a:avLst/>
                    </a:prstGeom>
                    <a:noFill/>
                  </pic:spPr>
                </pic:pic>
              </a:graphicData>
            </a:graphic>
            <wp14:sizeRelH relativeFrom="page">
              <wp14:pctWidth>0</wp14:pctWidth>
            </wp14:sizeRelH>
            <wp14:sizeRelV relativeFrom="page">
              <wp14:pctHeight>0</wp14:pctHeight>
            </wp14:sizeRelV>
          </wp:anchor>
        </w:drawing>
      </w:r>
      <w:r w:rsidR="000A50A1">
        <w:rPr>
          <w:b/>
          <w:bCs/>
          <w:iCs/>
          <w:noProof/>
          <w:sz w:val="28"/>
          <w:szCs w:val="28"/>
          <w:lang w:val="en-US"/>
        </w:rPr>
        <w:drawing>
          <wp:anchor distT="0" distB="0" distL="114300" distR="114300" simplePos="0" relativeHeight="251763712" behindDoc="0" locked="0" layoutInCell="1" allowOverlap="1" wp14:anchorId="07448F4B">
            <wp:simplePos x="0" y="0"/>
            <wp:positionH relativeFrom="column">
              <wp:posOffset>3392432</wp:posOffset>
            </wp:positionH>
            <wp:positionV relativeFrom="paragraph">
              <wp:posOffset>4433776</wp:posOffset>
            </wp:positionV>
            <wp:extent cx="3132000" cy="2124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2000" cy="2124000"/>
                    </a:xfrm>
                    <a:prstGeom prst="rect">
                      <a:avLst/>
                    </a:prstGeom>
                    <a:noFill/>
                  </pic:spPr>
                </pic:pic>
              </a:graphicData>
            </a:graphic>
            <wp14:sizeRelH relativeFrom="page">
              <wp14:pctWidth>0</wp14:pctWidth>
            </wp14:sizeRelH>
            <wp14:sizeRelV relativeFrom="page">
              <wp14:pctHeight>0</wp14:pctHeight>
            </wp14:sizeRelV>
          </wp:anchor>
        </w:drawing>
      </w:r>
      <w:r w:rsidR="001142A5" w:rsidRPr="004C7355">
        <w:rPr>
          <w:b/>
          <w:bCs/>
          <w:iCs/>
          <w:sz w:val="28"/>
          <w:szCs w:val="28"/>
          <w:lang w:val="en-US"/>
          <w14:shadow w14:blurRad="50800" w14:dist="38100" w14:dir="2700000" w14:sx="100000" w14:sy="100000" w14:kx="0" w14:ky="0" w14:algn="tl">
            <w14:srgbClr w14:val="000000">
              <w14:alpha w14:val="60000"/>
            </w14:srgbClr>
          </w14:shadow>
        </w:rPr>
        <w:br w:type="page"/>
      </w:r>
      <w:r w:rsidR="004C7355" w:rsidRPr="004C7355">
        <w:rPr>
          <w:b/>
          <w:bCs/>
          <w:iCs/>
          <w:sz w:val="28"/>
        </w:rPr>
        <w:lastRenderedPageBreak/>
        <w:t>Trends in the AIF Market</w:t>
      </w:r>
    </w:p>
    <w:p w:rsidR="004C7355" w:rsidRPr="004C7355" w:rsidRDefault="004C7355" w:rsidP="004C7355">
      <w:pPr>
        <w:widowControl w:val="0"/>
        <w:tabs>
          <w:tab w:val="left" w:pos="4185"/>
        </w:tabs>
        <w:spacing w:line="260" w:lineRule="exact"/>
        <w:jc w:val="center"/>
        <w:rPr>
          <w:i/>
          <w:iCs/>
          <w:sz w:val="22"/>
          <w:szCs w:val="22"/>
        </w:rPr>
      </w:pPr>
      <w:r w:rsidRPr="004C7355">
        <w:rPr>
          <w:b/>
          <w:bCs/>
          <w:i/>
          <w:iCs/>
          <w:sz w:val="28"/>
          <w:szCs w:val="28"/>
        </w:rPr>
        <w:t>Net Sales by Country of Domiciliation and Investment Type</w:t>
      </w:r>
    </w:p>
    <w:p w:rsidR="004C7355" w:rsidRPr="004C7355" w:rsidRDefault="004C7355" w:rsidP="004C7355">
      <w:pPr>
        <w:widowControl w:val="0"/>
        <w:tabs>
          <w:tab w:val="center" w:pos="4320"/>
          <w:tab w:val="right" w:pos="8640"/>
        </w:tabs>
        <w:jc w:val="center"/>
        <w:outlineLvl w:val="0"/>
        <w:rPr>
          <w:b/>
          <w:bCs/>
          <w:iCs/>
          <w:sz w:val="28"/>
          <w:szCs w:val="20"/>
        </w:rPr>
      </w:pPr>
    </w:p>
    <w:p w:rsidR="004C7355" w:rsidRPr="004C7355" w:rsidRDefault="00DC3A95" w:rsidP="004C7355">
      <w:pPr>
        <w:spacing w:line="260" w:lineRule="atLeast"/>
        <w:jc w:val="both"/>
        <w:rPr>
          <w:color w:val="000000"/>
          <w:sz w:val="22"/>
          <w:szCs w:val="22"/>
          <w:lang w:eastAsia="fr-FR"/>
        </w:rPr>
      </w:pPr>
      <w:r>
        <w:rPr>
          <w:b/>
          <w:color w:val="0000FF"/>
          <w:sz w:val="22"/>
          <w:szCs w:val="22"/>
          <w:lang w:eastAsia="fr-FR"/>
        </w:rPr>
        <w:t>Eighteen</w:t>
      </w:r>
      <w:r w:rsidR="00A95915">
        <w:rPr>
          <w:b/>
          <w:color w:val="0000FF"/>
          <w:sz w:val="22"/>
          <w:szCs w:val="22"/>
          <w:lang w:eastAsia="fr-FR"/>
        </w:rPr>
        <w:t xml:space="preserve"> domiciles </w:t>
      </w:r>
      <w:r w:rsidR="004C7355" w:rsidRPr="004C7355">
        <w:rPr>
          <w:b/>
          <w:color w:val="0000FF"/>
          <w:sz w:val="22"/>
          <w:szCs w:val="22"/>
          <w:lang w:eastAsia="fr-FR"/>
        </w:rPr>
        <w:t xml:space="preserve">experienced net inflows into AIF in </w:t>
      </w:r>
      <w:r w:rsidR="000D2165">
        <w:rPr>
          <w:b/>
          <w:color w:val="0000FF"/>
          <w:sz w:val="22"/>
          <w:szCs w:val="22"/>
          <w:lang w:eastAsia="fr-FR"/>
        </w:rPr>
        <w:t>Q4 2017</w:t>
      </w:r>
      <w:r w:rsidR="00A95915">
        <w:rPr>
          <w:b/>
          <w:color w:val="0000FF"/>
          <w:sz w:val="22"/>
          <w:szCs w:val="22"/>
          <w:lang w:eastAsia="fr-FR"/>
        </w:rPr>
        <w:t>, with seven</w:t>
      </w:r>
      <w:r w:rsidR="00537E5C">
        <w:rPr>
          <w:b/>
          <w:color w:val="0000FF"/>
          <w:sz w:val="22"/>
          <w:szCs w:val="22"/>
          <w:lang w:eastAsia="fr-FR"/>
        </w:rPr>
        <w:t xml:space="preserve"> countries recording net sale</w:t>
      </w:r>
      <w:r w:rsidR="004C7355" w:rsidRPr="004C7355">
        <w:rPr>
          <w:b/>
          <w:color w:val="0000FF"/>
          <w:sz w:val="22"/>
          <w:szCs w:val="22"/>
          <w:lang w:eastAsia="fr-FR"/>
        </w:rPr>
        <w:t>s higher than EUR 1 billion.</w:t>
      </w:r>
      <w:r w:rsidR="004C7355" w:rsidRPr="004C7355">
        <w:rPr>
          <w:color w:val="000000"/>
          <w:sz w:val="22"/>
          <w:szCs w:val="22"/>
          <w:lang w:eastAsia="fr-FR"/>
        </w:rPr>
        <w:t xml:space="preserve"> </w:t>
      </w:r>
    </w:p>
    <w:p w:rsidR="004C7355" w:rsidRPr="004C7355" w:rsidRDefault="004C7355" w:rsidP="004C7355">
      <w:pPr>
        <w:spacing w:line="260" w:lineRule="atLeast"/>
        <w:jc w:val="both"/>
        <w:rPr>
          <w:color w:val="000000"/>
          <w:sz w:val="22"/>
          <w:szCs w:val="22"/>
          <w:lang w:eastAsia="fr-FR"/>
        </w:rPr>
      </w:pPr>
    </w:p>
    <w:p w:rsidR="004C7355" w:rsidRDefault="00C33158" w:rsidP="004C7355">
      <w:pPr>
        <w:spacing w:line="260" w:lineRule="atLeast"/>
        <w:jc w:val="both"/>
        <w:rPr>
          <w:sz w:val="22"/>
          <w:szCs w:val="22"/>
          <w:lang w:eastAsia="fr-FR"/>
        </w:rPr>
      </w:pPr>
      <w:r>
        <w:rPr>
          <w:color w:val="000000"/>
          <w:sz w:val="22"/>
          <w:szCs w:val="22"/>
          <w:lang w:eastAsia="fr-FR"/>
        </w:rPr>
        <w:t>In Q4 2017, n</w:t>
      </w:r>
      <w:r w:rsidR="00537E5C">
        <w:rPr>
          <w:color w:val="000000"/>
          <w:sz w:val="22"/>
          <w:szCs w:val="22"/>
          <w:lang w:eastAsia="fr-FR"/>
        </w:rPr>
        <w:t>et sale</w:t>
      </w:r>
      <w:r w:rsidR="004C7355" w:rsidRPr="004C7355">
        <w:rPr>
          <w:color w:val="000000"/>
          <w:sz w:val="22"/>
          <w:szCs w:val="22"/>
          <w:lang w:eastAsia="fr-FR"/>
        </w:rPr>
        <w:t xml:space="preserve">s above EUR 1 billion were registered in </w:t>
      </w:r>
      <w:r w:rsidR="00A95915" w:rsidRPr="00A95915">
        <w:rPr>
          <w:color w:val="000000"/>
          <w:sz w:val="22"/>
          <w:szCs w:val="22"/>
          <w:lang w:eastAsia="fr-FR"/>
        </w:rPr>
        <w:t xml:space="preserve">Germany (EUR 26 billion), </w:t>
      </w:r>
      <w:r w:rsidR="00A95915">
        <w:rPr>
          <w:color w:val="000000"/>
          <w:sz w:val="22"/>
          <w:szCs w:val="22"/>
          <w:lang w:eastAsia="fr-FR"/>
        </w:rPr>
        <w:t>Luxembourg (EUR 6.6 billi</w:t>
      </w:r>
      <w:r w:rsidR="00DC3A95">
        <w:rPr>
          <w:color w:val="000000"/>
          <w:sz w:val="22"/>
          <w:szCs w:val="22"/>
          <w:lang w:eastAsia="fr-FR"/>
        </w:rPr>
        <w:t>on), the United Kingdom (EUR 2.9</w:t>
      </w:r>
      <w:r w:rsidR="00A95915">
        <w:rPr>
          <w:color w:val="000000"/>
          <w:sz w:val="22"/>
          <w:szCs w:val="22"/>
          <w:lang w:eastAsia="fr-FR"/>
        </w:rPr>
        <w:t xml:space="preserve"> billion), </w:t>
      </w:r>
      <w:r w:rsidR="00A95915" w:rsidRPr="00A95915">
        <w:rPr>
          <w:color w:val="000000"/>
          <w:sz w:val="22"/>
          <w:szCs w:val="22"/>
          <w:lang w:eastAsia="fr-FR"/>
        </w:rPr>
        <w:t>Ireland (2.1 billion),</w:t>
      </w:r>
      <w:r w:rsidR="00A95915" w:rsidRPr="00A95915">
        <w:t xml:space="preserve"> </w:t>
      </w:r>
      <w:r w:rsidR="00A95915" w:rsidRPr="00A95915">
        <w:rPr>
          <w:color w:val="000000"/>
          <w:sz w:val="22"/>
          <w:szCs w:val="22"/>
          <w:lang w:eastAsia="fr-FR"/>
        </w:rPr>
        <w:t>Switzerland (EUR 1.7 billi</w:t>
      </w:r>
      <w:r>
        <w:rPr>
          <w:color w:val="000000"/>
          <w:sz w:val="22"/>
          <w:szCs w:val="22"/>
          <w:lang w:eastAsia="fr-FR"/>
        </w:rPr>
        <w:t>on), Austria (EUR 1.0 billion) a</w:t>
      </w:r>
      <w:r w:rsidR="00A95915">
        <w:rPr>
          <w:color w:val="000000"/>
          <w:sz w:val="22"/>
          <w:szCs w:val="22"/>
          <w:lang w:eastAsia="fr-FR"/>
        </w:rPr>
        <w:t xml:space="preserve">nd </w:t>
      </w:r>
      <w:r w:rsidR="00DC3A95">
        <w:rPr>
          <w:color w:val="000000"/>
          <w:sz w:val="22"/>
          <w:szCs w:val="22"/>
          <w:lang w:eastAsia="fr-FR"/>
        </w:rPr>
        <w:t>Denmark (EUR 1.1</w:t>
      </w:r>
      <w:r w:rsidR="00A95915" w:rsidRPr="00A95915">
        <w:rPr>
          <w:color w:val="000000"/>
          <w:sz w:val="22"/>
          <w:szCs w:val="22"/>
          <w:lang w:eastAsia="fr-FR"/>
        </w:rPr>
        <w:t xml:space="preserve"> </w:t>
      </w:r>
      <w:r w:rsidR="00026F20">
        <w:rPr>
          <w:color w:val="000000"/>
          <w:sz w:val="22"/>
          <w:szCs w:val="22"/>
          <w:lang w:eastAsia="fr-FR"/>
        </w:rPr>
        <w:t>billion</w:t>
      </w:r>
      <w:r w:rsidR="00A95915" w:rsidRPr="00A95915">
        <w:rPr>
          <w:color w:val="000000"/>
          <w:sz w:val="22"/>
          <w:szCs w:val="22"/>
          <w:lang w:eastAsia="fr-FR"/>
        </w:rPr>
        <w:t>)</w:t>
      </w:r>
      <w:r w:rsidR="00A95915">
        <w:rPr>
          <w:color w:val="000000"/>
          <w:sz w:val="22"/>
          <w:szCs w:val="22"/>
          <w:lang w:eastAsia="fr-FR"/>
        </w:rPr>
        <w:t>.</w:t>
      </w:r>
    </w:p>
    <w:p w:rsidR="000D46CD" w:rsidRPr="004C7355" w:rsidRDefault="000D46CD" w:rsidP="004C7355">
      <w:pPr>
        <w:spacing w:line="260" w:lineRule="atLeast"/>
        <w:jc w:val="both"/>
        <w:rPr>
          <w:sz w:val="22"/>
          <w:szCs w:val="22"/>
          <w:lang w:eastAsia="fr-FR"/>
        </w:rPr>
      </w:pPr>
    </w:p>
    <w:p w:rsidR="00A95915" w:rsidRPr="004C7355" w:rsidRDefault="00C33158" w:rsidP="00D31791">
      <w:pPr>
        <w:jc w:val="both"/>
        <w:rPr>
          <w:color w:val="000000"/>
          <w:sz w:val="22"/>
          <w:szCs w:val="22"/>
          <w:lang w:eastAsia="fr-FR"/>
        </w:rPr>
      </w:pPr>
      <w:r>
        <w:rPr>
          <w:color w:val="000000"/>
          <w:sz w:val="22"/>
          <w:szCs w:val="22"/>
          <w:lang w:eastAsia="fr-FR"/>
        </w:rPr>
        <w:t>In 2017, f</w:t>
      </w:r>
      <w:r w:rsidR="00A95915">
        <w:rPr>
          <w:color w:val="000000"/>
          <w:sz w:val="22"/>
          <w:szCs w:val="22"/>
          <w:lang w:eastAsia="fr-FR"/>
        </w:rPr>
        <w:t>ive countries attracted net sales greater than EUR 10 billion</w:t>
      </w:r>
      <w:r>
        <w:rPr>
          <w:color w:val="000000"/>
          <w:sz w:val="22"/>
          <w:szCs w:val="22"/>
          <w:lang w:eastAsia="fr-FR"/>
        </w:rPr>
        <w:t>:</w:t>
      </w:r>
      <w:r w:rsidR="00A95915">
        <w:rPr>
          <w:color w:val="000000"/>
          <w:sz w:val="22"/>
          <w:szCs w:val="22"/>
          <w:lang w:eastAsia="fr-FR"/>
        </w:rPr>
        <w:t xml:space="preserve"> Germany (EUR 86.9 billion), Ireland (EUR 56.</w:t>
      </w:r>
      <w:r w:rsidR="00DC3A95">
        <w:rPr>
          <w:color w:val="000000"/>
          <w:sz w:val="22"/>
          <w:szCs w:val="22"/>
          <w:lang w:eastAsia="fr-FR"/>
        </w:rPr>
        <w:t>0 billion), Luxembourg (EUR 27.4</w:t>
      </w:r>
      <w:r w:rsidR="00A95915">
        <w:rPr>
          <w:color w:val="000000"/>
          <w:sz w:val="22"/>
          <w:szCs w:val="22"/>
          <w:lang w:eastAsia="fr-FR"/>
        </w:rPr>
        <w:t xml:space="preserve"> billion), the United Kingdom (EUR 11.6 billion), and the Netherlands (EUR 11.0 billion).</w:t>
      </w:r>
    </w:p>
    <w:p w:rsidR="004C7355" w:rsidRPr="004C7355" w:rsidRDefault="00CB0D2F" w:rsidP="004C7355">
      <w:pPr>
        <w:widowControl w:val="0"/>
        <w:tabs>
          <w:tab w:val="center" w:pos="4320"/>
          <w:tab w:val="right" w:pos="8640"/>
        </w:tabs>
        <w:outlineLvl w:val="0"/>
        <w:rPr>
          <w:b/>
          <w:bCs/>
          <w:iCs/>
          <w:sz w:val="28"/>
          <w:szCs w:val="20"/>
        </w:rPr>
      </w:pPr>
      <w:r w:rsidRPr="00CB0D2F">
        <w:rPr>
          <w:noProof/>
        </w:rPr>
        <w:drawing>
          <wp:anchor distT="0" distB="0" distL="114300" distR="114300" simplePos="0" relativeHeight="251802624" behindDoc="0" locked="0" layoutInCell="1" allowOverlap="1">
            <wp:simplePos x="0" y="0"/>
            <wp:positionH relativeFrom="column">
              <wp:posOffset>-48260</wp:posOffset>
            </wp:positionH>
            <wp:positionV relativeFrom="paragraph">
              <wp:posOffset>201295</wp:posOffset>
            </wp:positionV>
            <wp:extent cx="6264000" cy="48060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480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355" w:rsidRPr="004C7355" w:rsidRDefault="004C7355" w:rsidP="004C7355">
      <w:pPr>
        <w:widowControl w:val="0"/>
        <w:tabs>
          <w:tab w:val="center" w:pos="4320"/>
          <w:tab w:val="right" w:pos="8640"/>
        </w:tabs>
        <w:jc w:val="center"/>
        <w:outlineLvl w:val="0"/>
        <w:rPr>
          <w:sz w:val="20"/>
          <w:szCs w:val="20"/>
          <w:lang w:val="en-GB"/>
        </w:rPr>
      </w:pPr>
    </w:p>
    <w:p w:rsidR="004C7355" w:rsidRPr="004C7355" w:rsidRDefault="004C7355" w:rsidP="004C7355">
      <w:pPr>
        <w:widowControl w:val="0"/>
        <w:tabs>
          <w:tab w:val="center" w:pos="4320"/>
          <w:tab w:val="right" w:pos="8640"/>
        </w:tabs>
        <w:jc w:val="center"/>
        <w:outlineLvl w:val="0"/>
        <w:rPr>
          <w:sz w:val="20"/>
          <w:szCs w:val="20"/>
          <w:lang w:val="en-GB"/>
        </w:rPr>
      </w:pPr>
    </w:p>
    <w:p w:rsidR="004C7355" w:rsidRPr="004C7355" w:rsidRDefault="004C7355" w:rsidP="004C7355">
      <w:pPr>
        <w:widowControl w:val="0"/>
        <w:tabs>
          <w:tab w:val="center" w:pos="4320"/>
          <w:tab w:val="right" w:pos="8640"/>
        </w:tabs>
        <w:jc w:val="center"/>
        <w:outlineLvl w:val="0"/>
        <w:rPr>
          <w:b/>
          <w:bCs/>
          <w:iCs/>
          <w:sz w:val="28"/>
          <w:szCs w:val="20"/>
          <w:lang w:val="en-GB"/>
        </w:rPr>
      </w:pPr>
      <w:r w:rsidRPr="004C7355">
        <w:rPr>
          <w:sz w:val="20"/>
          <w:szCs w:val="20"/>
          <w:lang w:val="en-GB"/>
        </w:rPr>
        <w:br w:type="page"/>
      </w:r>
      <w:r w:rsidRPr="004C7355">
        <w:rPr>
          <w:b/>
          <w:bCs/>
          <w:iCs/>
          <w:sz w:val="28"/>
          <w:szCs w:val="20"/>
          <w:lang w:val="en-GB"/>
        </w:rPr>
        <w:lastRenderedPageBreak/>
        <w:t>Trends in the AIF Market</w:t>
      </w:r>
    </w:p>
    <w:p w:rsidR="004C7355" w:rsidRPr="004C7355" w:rsidRDefault="004C7355" w:rsidP="004C7355">
      <w:pPr>
        <w:widowControl w:val="0"/>
        <w:tabs>
          <w:tab w:val="left" w:pos="4185"/>
        </w:tabs>
        <w:spacing w:line="260" w:lineRule="exact"/>
        <w:jc w:val="center"/>
        <w:rPr>
          <w:i/>
          <w:iCs/>
          <w:sz w:val="22"/>
          <w:szCs w:val="22"/>
        </w:rPr>
      </w:pPr>
      <w:r w:rsidRPr="004C7355">
        <w:rPr>
          <w:b/>
          <w:bCs/>
          <w:i/>
          <w:iCs/>
          <w:sz w:val="28"/>
          <w:szCs w:val="28"/>
        </w:rPr>
        <w:t>Net Assets by Investment Type</w:t>
      </w:r>
    </w:p>
    <w:p w:rsidR="004C7355" w:rsidRPr="004C7355" w:rsidRDefault="004C7355" w:rsidP="004C7355">
      <w:pPr>
        <w:widowControl w:val="0"/>
        <w:tabs>
          <w:tab w:val="left" w:pos="720"/>
          <w:tab w:val="left" w:pos="4320"/>
          <w:tab w:val="right" w:pos="8640"/>
        </w:tabs>
        <w:spacing w:line="260" w:lineRule="exact"/>
        <w:jc w:val="both"/>
        <w:rPr>
          <w:color w:val="000000"/>
          <w:sz w:val="22"/>
          <w:szCs w:val="22"/>
        </w:rPr>
      </w:pPr>
    </w:p>
    <w:p w:rsidR="004C7355" w:rsidRDefault="004C7355" w:rsidP="00574EEF">
      <w:pPr>
        <w:widowControl w:val="0"/>
        <w:tabs>
          <w:tab w:val="left" w:pos="720"/>
          <w:tab w:val="left" w:pos="4320"/>
          <w:tab w:val="right" w:pos="8640"/>
        </w:tabs>
        <w:spacing w:line="276" w:lineRule="auto"/>
        <w:jc w:val="both"/>
        <w:rPr>
          <w:b/>
          <w:bCs/>
          <w:color w:val="0000FF"/>
          <w:sz w:val="22"/>
          <w:szCs w:val="22"/>
        </w:rPr>
      </w:pPr>
      <w:r w:rsidRPr="004C7355">
        <w:rPr>
          <w:b/>
          <w:bCs/>
          <w:color w:val="0000FF"/>
          <w:sz w:val="22"/>
          <w:szCs w:val="22"/>
        </w:rPr>
        <w:t>Net assets of AIF increased by 1.</w:t>
      </w:r>
      <w:r w:rsidR="00A95915">
        <w:rPr>
          <w:b/>
          <w:bCs/>
          <w:color w:val="0000FF"/>
          <w:sz w:val="22"/>
          <w:szCs w:val="22"/>
        </w:rPr>
        <w:t>3</w:t>
      </w:r>
      <w:r w:rsidRPr="004C7355">
        <w:rPr>
          <w:b/>
          <w:bCs/>
          <w:color w:val="0000FF"/>
          <w:sz w:val="22"/>
          <w:szCs w:val="22"/>
        </w:rPr>
        <w:t xml:space="preserve">% in the </w:t>
      </w:r>
      <w:r w:rsidR="00FD4A0B">
        <w:rPr>
          <w:b/>
          <w:bCs/>
          <w:color w:val="0000FF"/>
          <w:sz w:val="22"/>
          <w:szCs w:val="22"/>
        </w:rPr>
        <w:t>fourth</w:t>
      </w:r>
      <w:r w:rsidR="00A95915">
        <w:rPr>
          <w:b/>
          <w:bCs/>
          <w:color w:val="0000FF"/>
          <w:sz w:val="22"/>
          <w:szCs w:val="22"/>
        </w:rPr>
        <w:t xml:space="preserve"> quarter to reach EUR 5,909</w:t>
      </w:r>
      <w:r w:rsidR="0012774B">
        <w:rPr>
          <w:b/>
          <w:bCs/>
          <w:color w:val="0000FF"/>
          <w:sz w:val="22"/>
          <w:szCs w:val="22"/>
        </w:rPr>
        <w:t xml:space="preserve"> billion. S</w:t>
      </w:r>
      <w:r w:rsidR="0012774B" w:rsidRPr="0012774B">
        <w:rPr>
          <w:b/>
          <w:bCs/>
          <w:color w:val="0000FF"/>
          <w:sz w:val="22"/>
          <w:szCs w:val="22"/>
        </w:rPr>
        <w:t>ince end Q4 2016</w:t>
      </w:r>
      <w:r w:rsidR="00C04C87">
        <w:rPr>
          <w:b/>
          <w:bCs/>
          <w:color w:val="0000FF"/>
          <w:sz w:val="22"/>
          <w:szCs w:val="22"/>
        </w:rPr>
        <w:t xml:space="preserve"> </w:t>
      </w:r>
      <w:r w:rsidR="0012774B">
        <w:rPr>
          <w:b/>
          <w:bCs/>
          <w:color w:val="0000FF"/>
          <w:sz w:val="22"/>
          <w:szCs w:val="22"/>
        </w:rPr>
        <w:t>n</w:t>
      </w:r>
      <w:r w:rsidR="0012774B" w:rsidRPr="0012774B">
        <w:rPr>
          <w:b/>
          <w:bCs/>
          <w:color w:val="0000FF"/>
          <w:sz w:val="22"/>
          <w:szCs w:val="22"/>
        </w:rPr>
        <w:t xml:space="preserve">et assets of AIF </w:t>
      </w:r>
      <w:r w:rsidR="0012774B">
        <w:rPr>
          <w:b/>
          <w:bCs/>
          <w:color w:val="0000FF"/>
          <w:sz w:val="22"/>
          <w:szCs w:val="22"/>
        </w:rPr>
        <w:t xml:space="preserve">grew by </w:t>
      </w:r>
      <w:r w:rsidR="00C04C87">
        <w:rPr>
          <w:b/>
          <w:bCs/>
          <w:color w:val="0000FF"/>
          <w:sz w:val="22"/>
          <w:szCs w:val="22"/>
        </w:rPr>
        <w:t>7.1%.</w:t>
      </w:r>
    </w:p>
    <w:p w:rsidR="00574EEF" w:rsidRPr="00574EEF" w:rsidRDefault="00574EEF" w:rsidP="00574EEF">
      <w:pPr>
        <w:widowControl w:val="0"/>
        <w:tabs>
          <w:tab w:val="left" w:pos="720"/>
          <w:tab w:val="left" w:pos="4320"/>
          <w:tab w:val="right" w:pos="8640"/>
        </w:tabs>
        <w:spacing w:line="260" w:lineRule="exact"/>
        <w:jc w:val="both"/>
        <w:rPr>
          <w:b/>
          <w:bCs/>
          <w:color w:val="0000FF"/>
          <w:sz w:val="22"/>
          <w:szCs w:val="22"/>
        </w:rPr>
      </w:pPr>
    </w:p>
    <w:p w:rsidR="004C7355" w:rsidRDefault="004C7355" w:rsidP="004C7355">
      <w:pPr>
        <w:widowControl w:val="0"/>
        <w:tabs>
          <w:tab w:val="left" w:pos="720"/>
          <w:tab w:val="left" w:pos="4320"/>
          <w:tab w:val="right" w:pos="8640"/>
        </w:tabs>
        <w:spacing w:line="260" w:lineRule="exact"/>
        <w:jc w:val="both"/>
        <w:rPr>
          <w:color w:val="000000"/>
          <w:sz w:val="22"/>
          <w:szCs w:val="22"/>
          <w:lang w:val="en-GB"/>
        </w:rPr>
      </w:pPr>
      <w:r w:rsidRPr="004C7355">
        <w:rPr>
          <w:color w:val="000000"/>
          <w:sz w:val="22"/>
          <w:szCs w:val="22"/>
          <w:lang w:val="en-GB"/>
        </w:rPr>
        <w:t xml:space="preserve">In </w:t>
      </w:r>
      <w:r w:rsidR="000D2165">
        <w:rPr>
          <w:color w:val="000000"/>
          <w:sz w:val="22"/>
          <w:szCs w:val="22"/>
          <w:lang w:val="en-GB"/>
        </w:rPr>
        <w:t>Q4 2017</w:t>
      </w:r>
      <w:r w:rsidRPr="004C7355">
        <w:rPr>
          <w:color w:val="000000"/>
          <w:sz w:val="22"/>
          <w:szCs w:val="22"/>
          <w:lang w:val="en-GB"/>
        </w:rPr>
        <w:t xml:space="preserve">, equity funds recorded the </w:t>
      </w:r>
      <w:r w:rsidR="00790A60">
        <w:rPr>
          <w:color w:val="000000"/>
          <w:sz w:val="22"/>
          <w:szCs w:val="22"/>
          <w:lang w:val="en-GB"/>
        </w:rPr>
        <w:t xml:space="preserve">largest asset growth (4.3%), followed by real estate </w:t>
      </w:r>
      <w:r w:rsidRPr="004C7355">
        <w:rPr>
          <w:color w:val="000000"/>
          <w:sz w:val="22"/>
          <w:szCs w:val="22"/>
          <w:lang w:val="en-GB"/>
        </w:rPr>
        <w:t>(</w:t>
      </w:r>
      <w:r w:rsidR="00790A60">
        <w:rPr>
          <w:color w:val="000000"/>
          <w:sz w:val="22"/>
          <w:szCs w:val="22"/>
          <w:lang w:val="en-GB"/>
        </w:rPr>
        <w:t>2.9</w:t>
      </w:r>
      <w:r w:rsidRPr="004C7355">
        <w:rPr>
          <w:color w:val="000000"/>
          <w:sz w:val="22"/>
          <w:szCs w:val="22"/>
          <w:lang w:val="en-GB"/>
        </w:rPr>
        <w:t xml:space="preserve">%), </w:t>
      </w:r>
      <w:r w:rsidR="00790A60">
        <w:rPr>
          <w:color w:val="000000"/>
          <w:sz w:val="22"/>
          <w:szCs w:val="22"/>
          <w:lang w:val="en-GB"/>
        </w:rPr>
        <w:t xml:space="preserve">and multi-asset funds (0.2%). Decreases in net assets were recorded in bond funds (3.5%), guaranteed/protected funds (2.7%) and money market funds (1.0%). Other AIF funds recorded net asset growth of 3.5%. </w:t>
      </w:r>
    </w:p>
    <w:p w:rsidR="00C1344E" w:rsidRDefault="00C1344E" w:rsidP="004C7355">
      <w:pPr>
        <w:widowControl w:val="0"/>
        <w:tabs>
          <w:tab w:val="left" w:pos="720"/>
          <w:tab w:val="left" w:pos="4320"/>
          <w:tab w:val="right" w:pos="8640"/>
        </w:tabs>
        <w:spacing w:line="260" w:lineRule="exact"/>
        <w:jc w:val="both"/>
        <w:rPr>
          <w:color w:val="000000"/>
          <w:sz w:val="22"/>
          <w:szCs w:val="22"/>
          <w:lang w:val="en-GB"/>
        </w:rPr>
      </w:pPr>
    </w:p>
    <w:p w:rsidR="00C1344E" w:rsidRDefault="00C33158" w:rsidP="004C7355">
      <w:pPr>
        <w:widowControl w:val="0"/>
        <w:tabs>
          <w:tab w:val="left" w:pos="720"/>
          <w:tab w:val="left" w:pos="4320"/>
          <w:tab w:val="right" w:pos="8640"/>
        </w:tabs>
        <w:spacing w:line="260" w:lineRule="exact"/>
        <w:jc w:val="both"/>
        <w:rPr>
          <w:color w:val="000000"/>
          <w:sz w:val="22"/>
          <w:szCs w:val="22"/>
          <w:lang w:val="en-GB"/>
        </w:rPr>
      </w:pPr>
      <w:r>
        <w:rPr>
          <w:color w:val="000000"/>
          <w:sz w:val="22"/>
          <w:szCs w:val="22"/>
          <w:lang w:val="en-GB"/>
        </w:rPr>
        <w:t>E</w:t>
      </w:r>
      <w:r w:rsidR="00C04C87">
        <w:rPr>
          <w:color w:val="000000"/>
          <w:sz w:val="22"/>
          <w:szCs w:val="22"/>
          <w:lang w:val="en-GB"/>
        </w:rPr>
        <w:t xml:space="preserve">quity funds registered the largest increase in net assets </w:t>
      </w:r>
      <w:r>
        <w:rPr>
          <w:color w:val="000000"/>
          <w:sz w:val="22"/>
          <w:szCs w:val="22"/>
          <w:lang w:val="en-GB"/>
        </w:rPr>
        <w:t xml:space="preserve">in 2017 </w:t>
      </w:r>
      <w:r w:rsidR="00C1344E">
        <w:rPr>
          <w:color w:val="000000"/>
          <w:sz w:val="22"/>
          <w:szCs w:val="22"/>
          <w:lang w:val="en-GB"/>
        </w:rPr>
        <w:t>(12.6%), followed by “other” AIF funds (16.0%). Money market funds saw the largest net asset decrease (7.3%)</w:t>
      </w:r>
      <w:r>
        <w:rPr>
          <w:color w:val="000000"/>
          <w:sz w:val="22"/>
          <w:szCs w:val="22"/>
          <w:lang w:val="en-GB"/>
        </w:rPr>
        <w:t>,</w:t>
      </w:r>
      <w:r w:rsidR="00C1344E">
        <w:rPr>
          <w:color w:val="000000"/>
          <w:sz w:val="22"/>
          <w:szCs w:val="22"/>
          <w:lang w:val="en-GB"/>
        </w:rPr>
        <w:t xml:space="preserve"> followed by gu</w:t>
      </w:r>
      <w:r w:rsidR="00C04C87">
        <w:rPr>
          <w:color w:val="000000"/>
          <w:sz w:val="22"/>
          <w:szCs w:val="22"/>
          <w:lang w:val="en-GB"/>
        </w:rPr>
        <w:t>aranteed/protected funds (6.8%).</w:t>
      </w:r>
    </w:p>
    <w:p w:rsidR="004C7355" w:rsidRPr="004C7355" w:rsidRDefault="004C7355" w:rsidP="004C7355">
      <w:pPr>
        <w:widowControl w:val="0"/>
        <w:tabs>
          <w:tab w:val="left" w:pos="720"/>
          <w:tab w:val="left" w:pos="4320"/>
          <w:tab w:val="right" w:pos="8640"/>
        </w:tabs>
        <w:spacing w:line="260" w:lineRule="exact"/>
        <w:jc w:val="both"/>
        <w:rPr>
          <w:color w:val="000000"/>
          <w:sz w:val="22"/>
          <w:szCs w:val="22"/>
          <w:lang w:val="en-GB"/>
        </w:rPr>
      </w:pPr>
    </w:p>
    <w:p w:rsidR="004C7355" w:rsidRPr="004C7355" w:rsidRDefault="007A71B9" w:rsidP="004C7355">
      <w:pPr>
        <w:widowControl w:val="0"/>
        <w:tabs>
          <w:tab w:val="left" w:pos="720"/>
          <w:tab w:val="left" w:pos="4320"/>
          <w:tab w:val="right" w:pos="8640"/>
        </w:tabs>
        <w:spacing w:line="260" w:lineRule="exact"/>
        <w:jc w:val="both"/>
        <w:rPr>
          <w:color w:val="000000"/>
          <w:sz w:val="22"/>
          <w:szCs w:val="22"/>
        </w:rPr>
      </w:pPr>
      <w:r>
        <w:rPr>
          <w:color w:val="000000"/>
          <w:sz w:val="22"/>
          <w:szCs w:val="22"/>
        </w:rPr>
        <w:t>The n</w:t>
      </w:r>
      <w:r w:rsidR="00C33158">
        <w:rPr>
          <w:color w:val="000000"/>
          <w:sz w:val="22"/>
          <w:szCs w:val="22"/>
        </w:rPr>
        <w:t xml:space="preserve">umber of AIF funds increased </w:t>
      </w:r>
      <w:r w:rsidR="00790A60">
        <w:rPr>
          <w:color w:val="000000"/>
          <w:sz w:val="22"/>
          <w:szCs w:val="22"/>
        </w:rPr>
        <w:t xml:space="preserve">from </w:t>
      </w:r>
      <w:r w:rsidR="00BF0C63">
        <w:rPr>
          <w:color w:val="000000"/>
          <w:sz w:val="22"/>
          <w:szCs w:val="22"/>
        </w:rPr>
        <w:t>28,144 funds at end Q4 2016 to 28,231</w:t>
      </w:r>
      <w:r w:rsidR="00C1344E">
        <w:rPr>
          <w:color w:val="000000"/>
          <w:sz w:val="22"/>
          <w:szCs w:val="22"/>
        </w:rPr>
        <w:t xml:space="preserve"> funds at end Q4 2017.</w:t>
      </w:r>
    </w:p>
    <w:p w:rsidR="004C7355" w:rsidRPr="004C7355" w:rsidRDefault="004C7355" w:rsidP="004C7355">
      <w:pPr>
        <w:widowControl w:val="0"/>
        <w:tabs>
          <w:tab w:val="left" w:pos="720"/>
          <w:tab w:val="left" w:pos="4320"/>
          <w:tab w:val="right" w:pos="8640"/>
        </w:tabs>
        <w:spacing w:line="260" w:lineRule="exact"/>
        <w:jc w:val="both"/>
        <w:rPr>
          <w:color w:val="000000"/>
          <w:sz w:val="22"/>
          <w:szCs w:val="22"/>
        </w:rPr>
      </w:pPr>
    </w:p>
    <w:p w:rsidR="004C7355" w:rsidRPr="004C7355" w:rsidRDefault="00460039" w:rsidP="004C7355">
      <w:pPr>
        <w:widowControl w:val="0"/>
        <w:tabs>
          <w:tab w:val="center" w:pos="4320"/>
          <w:tab w:val="right" w:pos="8640"/>
        </w:tabs>
        <w:jc w:val="center"/>
        <w:outlineLvl w:val="0"/>
        <w:rPr>
          <w:b/>
          <w:bCs/>
          <w:iCs/>
          <w:sz w:val="28"/>
          <w:szCs w:val="20"/>
          <w:lang w:val="en-GB"/>
        </w:rPr>
      </w:pPr>
      <w:r w:rsidRPr="00460039">
        <w:rPr>
          <w:noProof/>
        </w:rPr>
        <w:drawing>
          <wp:anchor distT="0" distB="0" distL="114300" distR="114300" simplePos="0" relativeHeight="251773952" behindDoc="0" locked="0" layoutInCell="1" allowOverlap="1">
            <wp:simplePos x="0" y="0"/>
            <wp:positionH relativeFrom="column">
              <wp:posOffset>669290</wp:posOffset>
            </wp:positionH>
            <wp:positionV relativeFrom="paragraph">
              <wp:posOffset>20320</wp:posOffset>
            </wp:positionV>
            <wp:extent cx="5158800" cy="6325200"/>
            <wp:effectExtent l="0" t="0" r="3810" b="0"/>
            <wp:wrapNone/>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8800" cy="63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355" w:rsidRPr="004C7355" w:rsidRDefault="004C7355" w:rsidP="004C7355">
      <w:pPr>
        <w:rPr>
          <w:lang w:val="en-GB"/>
        </w:rPr>
      </w:pPr>
    </w:p>
    <w:p w:rsidR="004C7355" w:rsidRPr="004C7355" w:rsidRDefault="004C7355" w:rsidP="004C7355">
      <w:pPr>
        <w:widowControl w:val="0"/>
        <w:tabs>
          <w:tab w:val="center" w:pos="4320"/>
          <w:tab w:val="right" w:pos="8640"/>
        </w:tabs>
        <w:jc w:val="center"/>
        <w:outlineLvl w:val="0"/>
        <w:rPr>
          <w:sz w:val="20"/>
          <w:szCs w:val="20"/>
          <w:lang w:val="en-GB"/>
        </w:rPr>
      </w:pPr>
    </w:p>
    <w:p w:rsidR="004C7355" w:rsidRPr="004C7355" w:rsidRDefault="004C7355" w:rsidP="004C7355">
      <w:pPr>
        <w:widowControl w:val="0"/>
        <w:tabs>
          <w:tab w:val="left" w:pos="4215"/>
          <w:tab w:val="center" w:pos="4320"/>
          <w:tab w:val="right" w:pos="8640"/>
        </w:tabs>
        <w:outlineLvl w:val="0"/>
        <w:rPr>
          <w:sz w:val="20"/>
          <w:szCs w:val="20"/>
          <w:lang w:val="en-GB"/>
        </w:rPr>
      </w:pPr>
      <w:r w:rsidRPr="004C7355">
        <w:rPr>
          <w:sz w:val="20"/>
          <w:szCs w:val="20"/>
          <w:lang w:val="en-GB"/>
        </w:rPr>
        <w:tab/>
      </w:r>
      <w:r w:rsidRPr="004C7355">
        <w:rPr>
          <w:sz w:val="20"/>
          <w:szCs w:val="20"/>
          <w:lang w:val="en-GB"/>
        </w:rPr>
        <w:tab/>
      </w:r>
    </w:p>
    <w:p w:rsidR="004C7355" w:rsidRPr="004C7355" w:rsidRDefault="004C7355" w:rsidP="004C7355">
      <w:pPr>
        <w:widowControl w:val="0"/>
        <w:tabs>
          <w:tab w:val="center" w:pos="4320"/>
          <w:tab w:val="right" w:pos="8640"/>
        </w:tabs>
        <w:jc w:val="center"/>
        <w:outlineLvl w:val="0"/>
        <w:rPr>
          <w:b/>
          <w:bCs/>
          <w:iCs/>
          <w:sz w:val="28"/>
          <w:szCs w:val="20"/>
          <w:lang w:val="en-GB"/>
        </w:rPr>
      </w:pPr>
      <w:r w:rsidRPr="004C7355">
        <w:rPr>
          <w:sz w:val="20"/>
          <w:szCs w:val="20"/>
          <w:lang w:val="en-GB"/>
        </w:rPr>
        <w:br w:type="page"/>
      </w:r>
      <w:r w:rsidRPr="004C7355">
        <w:rPr>
          <w:b/>
          <w:bCs/>
          <w:iCs/>
          <w:sz w:val="28"/>
          <w:szCs w:val="20"/>
          <w:lang w:val="en-GB"/>
        </w:rPr>
        <w:lastRenderedPageBreak/>
        <w:t>Trends in t</w:t>
      </w:r>
      <w:bookmarkStart w:id="1" w:name="_GoBack"/>
      <w:bookmarkEnd w:id="1"/>
      <w:r w:rsidRPr="004C7355">
        <w:rPr>
          <w:b/>
          <w:bCs/>
          <w:iCs/>
          <w:sz w:val="28"/>
          <w:szCs w:val="20"/>
          <w:lang w:val="en-GB"/>
        </w:rPr>
        <w:t>he AIF Market</w:t>
      </w:r>
    </w:p>
    <w:p w:rsidR="004C7355" w:rsidRPr="004C7355" w:rsidRDefault="004C7355" w:rsidP="004C7355">
      <w:pPr>
        <w:widowControl w:val="0"/>
        <w:tabs>
          <w:tab w:val="left" w:pos="4185"/>
        </w:tabs>
        <w:spacing w:line="260" w:lineRule="exact"/>
        <w:jc w:val="center"/>
        <w:rPr>
          <w:i/>
          <w:iCs/>
          <w:sz w:val="22"/>
          <w:szCs w:val="22"/>
        </w:rPr>
      </w:pPr>
      <w:r w:rsidRPr="004C7355">
        <w:rPr>
          <w:b/>
          <w:bCs/>
          <w:i/>
          <w:iCs/>
          <w:sz w:val="28"/>
          <w:szCs w:val="28"/>
        </w:rPr>
        <w:t>Net Sales and Assets of Institutional AIF</w:t>
      </w:r>
    </w:p>
    <w:p w:rsidR="004C7355" w:rsidRPr="004C7355" w:rsidRDefault="004C7355" w:rsidP="004C7355">
      <w:pPr>
        <w:widowControl w:val="0"/>
        <w:tabs>
          <w:tab w:val="left" w:pos="720"/>
          <w:tab w:val="left" w:pos="4320"/>
          <w:tab w:val="right" w:pos="8640"/>
        </w:tabs>
        <w:spacing w:line="260" w:lineRule="exact"/>
        <w:jc w:val="both"/>
        <w:rPr>
          <w:color w:val="000000"/>
          <w:sz w:val="22"/>
          <w:szCs w:val="22"/>
        </w:rPr>
      </w:pPr>
    </w:p>
    <w:p w:rsidR="004C7355" w:rsidRPr="004C7355" w:rsidRDefault="004C7355" w:rsidP="004C7355">
      <w:pPr>
        <w:widowControl w:val="0"/>
        <w:tabs>
          <w:tab w:val="left" w:pos="720"/>
          <w:tab w:val="left" w:pos="4320"/>
          <w:tab w:val="right" w:pos="8640"/>
        </w:tabs>
        <w:spacing w:line="260" w:lineRule="exact"/>
        <w:jc w:val="both"/>
        <w:rPr>
          <w:b/>
          <w:bCs/>
          <w:color w:val="0000FF"/>
          <w:sz w:val="22"/>
          <w:szCs w:val="22"/>
        </w:rPr>
      </w:pPr>
      <w:r w:rsidRPr="004C7355">
        <w:rPr>
          <w:b/>
          <w:bCs/>
          <w:color w:val="0000FF"/>
          <w:sz w:val="22"/>
          <w:szCs w:val="22"/>
        </w:rPr>
        <w:t>Net assets of institutional AIF, which are AIF reserved for instit</w:t>
      </w:r>
      <w:r w:rsidR="00026F20">
        <w:rPr>
          <w:b/>
          <w:bCs/>
          <w:color w:val="0000FF"/>
          <w:sz w:val="22"/>
          <w:szCs w:val="22"/>
        </w:rPr>
        <w:t>utional investors, increased 1.9% to EUR 2,860</w:t>
      </w:r>
      <w:r w:rsidRPr="004C7355">
        <w:rPr>
          <w:b/>
          <w:bCs/>
          <w:color w:val="0000FF"/>
          <w:sz w:val="22"/>
          <w:szCs w:val="22"/>
        </w:rPr>
        <w:t xml:space="preserve"> billion at end </w:t>
      </w:r>
      <w:r w:rsidR="000D2165">
        <w:rPr>
          <w:b/>
          <w:bCs/>
          <w:color w:val="0000FF"/>
          <w:sz w:val="22"/>
          <w:szCs w:val="22"/>
        </w:rPr>
        <w:t>Q4 2017</w:t>
      </w:r>
      <w:r w:rsidRPr="004C7355">
        <w:rPr>
          <w:b/>
          <w:bCs/>
          <w:color w:val="0000FF"/>
          <w:sz w:val="22"/>
          <w:szCs w:val="22"/>
        </w:rPr>
        <w:t xml:space="preserve">. </w:t>
      </w:r>
    </w:p>
    <w:p w:rsidR="004C7355" w:rsidRPr="004C7355" w:rsidRDefault="004C7355" w:rsidP="004C7355">
      <w:pPr>
        <w:widowControl w:val="0"/>
        <w:tabs>
          <w:tab w:val="left" w:pos="720"/>
          <w:tab w:val="left" w:pos="4320"/>
          <w:tab w:val="right" w:pos="8640"/>
        </w:tabs>
        <w:spacing w:line="260" w:lineRule="exact"/>
        <w:jc w:val="both"/>
        <w:rPr>
          <w:b/>
          <w:bCs/>
          <w:color w:val="0000FF"/>
          <w:sz w:val="22"/>
          <w:szCs w:val="22"/>
        </w:rPr>
      </w:pPr>
    </w:p>
    <w:p w:rsidR="004C7355" w:rsidRDefault="001C4174" w:rsidP="004C7355">
      <w:pPr>
        <w:widowControl w:val="0"/>
        <w:tabs>
          <w:tab w:val="left" w:pos="720"/>
          <w:tab w:val="left" w:pos="4320"/>
          <w:tab w:val="right" w:pos="8640"/>
        </w:tabs>
        <w:spacing w:line="260" w:lineRule="exact"/>
        <w:jc w:val="both"/>
        <w:rPr>
          <w:bCs/>
          <w:color w:val="000000"/>
          <w:sz w:val="22"/>
          <w:szCs w:val="22"/>
        </w:rPr>
      </w:pPr>
      <w:r>
        <w:rPr>
          <w:color w:val="000000"/>
          <w:sz w:val="22"/>
          <w:szCs w:val="22"/>
          <w:lang w:val="en-GB"/>
        </w:rPr>
        <w:t>Net assets of institutional money market funds</w:t>
      </w:r>
      <w:r w:rsidR="003D479A">
        <w:rPr>
          <w:color w:val="000000"/>
          <w:sz w:val="22"/>
          <w:szCs w:val="22"/>
          <w:lang w:val="en-GB"/>
        </w:rPr>
        <w:t xml:space="preserve"> increased by 5.4%</w:t>
      </w:r>
      <w:r w:rsidR="00C33158">
        <w:rPr>
          <w:color w:val="000000"/>
          <w:sz w:val="22"/>
          <w:szCs w:val="22"/>
          <w:lang w:val="en-GB"/>
        </w:rPr>
        <w:t xml:space="preserve"> in Q4 2017</w:t>
      </w:r>
      <w:r>
        <w:rPr>
          <w:color w:val="000000"/>
          <w:sz w:val="22"/>
          <w:szCs w:val="22"/>
          <w:lang w:val="en-GB"/>
        </w:rPr>
        <w:t>,</w:t>
      </w:r>
      <w:r w:rsidR="00C33158">
        <w:rPr>
          <w:color w:val="000000"/>
          <w:sz w:val="22"/>
          <w:szCs w:val="22"/>
          <w:lang w:val="en-GB"/>
        </w:rPr>
        <w:t xml:space="preserve"> followed by equity (4.5%) </w:t>
      </w:r>
      <w:r w:rsidR="003D479A">
        <w:rPr>
          <w:color w:val="000000"/>
          <w:sz w:val="22"/>
          <w:szCs w:val="22"/>
          <w:lang w:val="en-GB"/>
        </w:rPr>
        <w:t>and real estate (2.3%)</w:t>
      </w:r>
      <w:r w:rsidR="003D479A">
        <w:rPr>
          <w:bCs/>
          <w:color w:val="000000"/>
          <w:sz w:val="22"/>
          <w:szCs w:val="22"/>
        </w:rPr>
        <w:t>. Net assets of</w:t>
      </w:r>
      <w:r w:rsidR="00026F20">
        <w:rPr>
          <w:bCs/>
          <w:color w:val="000000"/>
          <w:sz w:val="22"/>
          <w:szCs w:val="22"/>
        </w:rPr>
        <w:t xml:space="preserve"> institutional multi-asset funds</w:t>
      </w:r>
      <w:r w:rsidR="003D479A">
        <w:rPr>
          <w:bCs/>
          <w:color w:val="000000"/>
          <w:sz w:val="22"/>
          <w:szCs w:val="22"/>
        </w:rPr>
        <w:t xml:space="preserve"> stayed the same as the previous quarter, while net assets of bond funds decreased by 0.5</w:t>
      </w:r>
      <w:r w:rsidR="006D3158">
        <w:rPr>
          <w:bCs/>
          <w:color w:val="000000"/>
          <w:sz w:val="22"/>
          <w:szCs w:val="22"/>
        </w:rPr>
        <w:t>%</w:t>
      </w:r>
      <w:r w:rsidR="003D479A">
        <w:rPr>
          <w:bCs/>
          <w:color w:val="000000"/>
          <w:sz w:val="22"/>
          <w:szCs w:val="22"/>
        </w:rPr>
        <w:t xml:space="preserve">. Net assets of other AIF funds increased by 7.8%. </w:t>
      </w:r>
    </w:p>
    <w:p w:rsidR="003D479A" w:rsidRDefault="003D479A" w:rsidP="004C7355">
      <w:pPr>
        <w:widowControl w:val="0"/>
        <w:tabs>
          <w:tab w:val="left" w:pos="720"/>
          <w:tab w:val="left" w:pos="4320"/>
          <w:tab w:val="right" w:pos="8640"/>
        </w:tabs>
        <w:spacing w:line="260" w:lineRule="exact"/>
        <w:jc w:val="both"/>
        <w:rPr>
          <w:bCs/>
          <w:color w:val="000000"/>
          <w:sz w:val="22"/>
          <w:szCs w:val="22"/>
        </w:rPr>
      </w:pPr>
    </w:p>
    <w:p w:rsidR="003D479A" w:rsidRDefault="00C33158" w:rsidP="004C7355">
      <w:pPr>
        <w:widowControl w:val="0"/>
        <w:tabs>
          <w:tab w:val="left" w:pos="720"/>
          <w:tab w:val="left" w:pos="4320"/>
          <w:tab w:val="right" w:pos="8640"/>
        </w:tabs>
        <w:spacing w:line="260" w:lineRule="exact"/>
        <w:jc w:val="both"/>
        <w:rPr>
          <w:bCs/>
          <w:color w:val="000000"/>
          <w:sz w:val="22"/>
          <w:szCs w:val="22"/>
          <w:lang w:val="en-GB"/>
        </w:rPr>
      </w:pPr>
      <w:r>
        <w:rPr>
          <w:bCs/>
          <w:color w:val="000000"/>
          <w:sz w:val="22"/>
          <w:szCs w:val="22"/>
          <w:lang w:val="en-GB"/>
        </w:rPr>
        <w:t xml:space="preserve">In 2017, </w:t>
      </w:r>
      <w:r w:rsidR="003D479A">
        <w:rPr>
          <w:bCs/>
          <w:color w:val="000000"/>
          <w:sz w:val="22"/>
          <w:szCs w:val="22"/>
          <w:lang w:val="en-GB"/>
        </w:rPr>
        <w:t xml:space="preserve">the largest increase in </w:t>
      </w:r>
      <w:r w:rsidR="00A80935">
        <w:rPr>
          <w:bCs/>
          <w:color w:val="000000"/>
          <w:sz w:val="22"/>
          <w:szCs w:val="22"/>
          <w:lang w:val="en-GB"/>
        </w:rPr>
        <w:t xml:space="preserve">the </w:t>
      </w:r>
      <w:r w:rsidR="003D479A">
        <w:rPr>
          <w:bCs/>
          <w:color w:val="000000"/>
          <w:sz w:val="22"/>
          <w:szCs w:val="22"/>
          <w:lang w:val="en-GB"/>
        </w:rPr>
        <w:t>net ass</w:t>
      </w:r>
      <w:r w:rsidR="00A80935">
        <w:rPr>
          <w:bCs/>
          <w:color w:val="000000"/>
          <w:sz w:val="22"/>
          <w:szCs w:val="22"/>
          <w:lang w:val="en-GB"/>
        </w:rPr>
        <w:t>ets was</w:t>
      </w:r>
      <w:r w:rsidR="003D479A">
        <w:rPr>
          <w:bCs/>
          <w:color w:val="000000"/>
          <w:sz w:val="22"/>
          <w:szCs w:val="22"/>
          <w:lang w:val="en-GB"/>
        </w:rPr>
        <w:t xml:space="preserve"> recorded in equity and</w:t>
      </w:r>
      <w:r w:rsidR="00A80935">
        <w:rPr>
          <w:bCs/>
          <w:color w:val="000000"/>
          <w:sz w:val="22"/>
          <w:szCs w:val="22"/>
          <w:lang w:val="en-GB"/>
        </w:rPr>
        <w:t xml:space="preserve"> money market funds (</w:t>
      </w:r>
      <w:r w:rsidR="003D479A">
        <w:rPr>
          <w:bCs/>
          <w:color w:val="000000"/>
          <w:sz w:val="22"/>
          <w:szCs w:val="22"/>
          <w:lang w:val="en-GB"/>
        </w:rPr>
        <w:t>14.6% an</w:t>
      </w:r>
      <w:r>
        <w:rPr>
          <w:bCs/>
          <w:color w:val="000000"/>
          <w:sz w:val="22"/>
          <w:szCs w:val="22"/>
          <w:lang w:val="en-GB"/>
        </w:rPr>
        <w:t xml:space="preserve">d 14.7%, respectively), </w:t>
      </w:r>
      <w:r w:rsidR="003D479A">
        <w:rPr>
          <w:bCs/>
          <w:color w:val="000000"/>
          <w:sz w:val="22"/>
          <w:szCs w:val="22"/>
          <w:lang w:val="en-GB"/>
        </w:rPr>
        <w:t>followed by real estate funds (13.2%)</w:t>
      </w:r>
      <w:r>
        <w:rPr>
          <w:bCs/>
          <w:color w:val="000000"/>
          <w:sz w:val="22"/>
          <w:szCs w:val="22"/>
          <w:lang w:val="en-GB"/>
        </w:rPr>
        <w:t xml:space="preserve">. </w:t>
      </w:r>
    </w:p>
    <w:p w:rsidR="00C33158" w:rsidRPr="004C7355" w:rsidRDefault="00C33158" w:rsidP="004C7355">
      <w:pPr>
        <w:widowControl w:val="0"/>
        <w:tabs>
          <w:tab w:val="left" w:pos="720"/>
          <w:tab w:val="left" w:pos="4320"/>
          <w:tab w:val="right" w:pos="8640"/>
        </w:tabs>
        <w:spacing w:line="260" w:lineRule="exact"/>
        <w:jc w:val="both"/>
        <w:rPr>
          <w:bCs/>
          <w:color w:val="000000"/>
          <w:sz w:val="22"/>
          <w:szCs w:val="22"/>
          <w:lang w:val="en-GB"/>
        </w:rPr>
      </w:pPr>
    </w:p>
    <w:p w:rsidR="004C7355" w:rsidRPr="004C7355" w:rsidRDefault="00C33158" w:rsidP="00C33158">
      <w:pPr>
        <w:widowControl w:val="0"/>
        <w:tabs>
          <w:tab w:val="left" w:pos="720"/>
          <w:tab w:val="left" w:pos="4320"/>
          <w:tab w:val="right" w:pos="8640"/>
        </w:tabs>
        <w:spacing w:line="260" w:lineRule="exact"/>
        <w:jc w:val="both"/>
        <w:rPr>
          <w:sz w:val="20"/>
          <w:szCs w:val="20"/>
          <w:lang w:val="en-GB"/>
        </w:rPr>
      </w:pPr>
      <w:r>
        <w:rPr>
          <w:color w:val="000000"/>
          <w:sz w:val="22"/>
          <w:szCs w:val="22"/>
        </w:rPr>
        <w:t>In Q4 2017, i</w:t>
      </w:r>
      <w:r w:rsidR="004C7355" w:rsidRPr="004C7355">
        <w:rPr>
          <w:color w:val="000000"/>
          <w:sz w:val="22"/>
          <w:szCs w:val="22"/>
        </w:rPr>
        <w:t xml:space="preserve">nstitutional AIF recorded </w:t>
      </w:r>
      <w:r>
        <w:rPr>
          <w:color w:val="000000"/>
          <w:sz w:val="22"/>
          <w:szCs w:val="22"/>
        </w:rPr>
        <w:t>approximately the same level of</w:t>
      </w:r>
      <w:r w:rsidR="00AC3962">
        <w:rPr>
          <w:color w:val="000000"/>
          <w:sz w:val="22"/>
          <w:szCs w:val="22"/>
        </w:rPr>
        <w:t xml:space="preserve"> net sales as in Q3 and Q1 2017 (EUR 38 billion).</w:t>
      </w:r>
      <w:r>
        <w:rPr>
          <w:color w:val="000000"/>
          <w:sz w:val="22"/>
          <w:szCs w:val="22"/>
        </w:rPr>
        <w:t xml:space="preserve"> </w:t>
      </w:r>
    </w:p>
    <w:p w:rsidR="004C7355" w:rsidRPr="004C7355" w:rsidRDefault="004C7355" w:rsidP="004C7355">
      <w:pPr>
        <w:widowControl w:val="0"/>
        <w:tabs>
          <w:tab w:val="center" w:pos="4320"/>
          <w:tab w:val="right" w:pos="8640"/>
        </w:tabs>
        <w:jc w:val="center"/>
        <w:rPr>
          <w:sz w:val="20"/>
          <w:szCs w:val="20"/>
          <w:lang w:val="en-GB"/>
        </w:rPr>
      </w:pPr>
    </w:p>
    <w:p w:rsidR="004C7355" w:rsidRPr="004C7355" w:rsidRDefault="00460039" w:rsidP="004C7355">
      <w:pPr>
        <w:widowControl w:val="0"/>
        <w:tabs>
          <w:tab w:val="center" w:pos="4320"/>
          <w:tab w:val="right" w:pos="8640"/>
        </w:tabs>
        <w:jc w:val="center"/>
        <w:rPr>
          <w:sz w:val="20"/>
          <w:szCs w:val="20"/>
          <w:lang w:val="en-GB"/>
        </w:rPr>
      </w:pPr>
      <w:r w:rsidRPr="00460039">
        <w:rPr>
          <w:noProof/>
        </w:rPr>
        <w:drawing>
          <wp:anchor distT="0" distB="0" distL="114300" distR="114300" simplePos="0" relativeHeight="251777024" behindDoc="0" locked="0" layoutInCell="1" allowOverlap="1">
            <wp:simplePos x="0" y="0"/>
            <wp:positionH relativeFrom="column">
              <wp:posOffset>525173</wp:posOffset>
            </wp:positionH>
            <wp:positionV relativeFrom="paragraph">
              <wp:posOffset>38100</wp:posOffset>
            </wp:positionV>
            <wp:extent cx="5335200" cy="2836800"/>
            <wp:effectExtent l="0" t="0" r="0" b="1905"/>
            <wp:wrapNone/>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5200" cy="2836800"/>
                    </a:xfrm>
                    <a:prstGeom prst="rect">
                      <a:avLst/>
                    </a:prstGeom>
                    <a:noFill/>
                    <a:ln>
                      <a:noFill/>
                    </a:ln>
                  </pic:spPr>
                </pic:pic>
              </a:graphicData>
            </a:graphic>
          </wp:anchor>
        </w:drawing>
      </w:r>
    </w:p>
    <w:p w:rsidR="004C7355" w:rsidRPr="004C7355" w:rsidRDefault="004C7355" w:rsidP="004C7355">
      <w:pPr>
        <w:widowControl w:val="0"/>
        <w:tabs>
          <w:tab w:val="center" w:pos="4320"/>
          <w:tab w:val="right" w:pos="8640"/>
        </w:tabs>
        <w:jc w:val="center"/>
        <w:outlineLvl w:val="0"/>
        <w:rPr>
          <w:b/>
          <w:bCs/>
          <w:sz w:val="28"/>
          <w:szCs w:val="28"/>
        </w:rPr>
      </w:pPr>
    </w:p>
    <w:p w:rsidR="004C7355" w:rsidRPr="004C7355" w:rsidRDefault="004C7355" w:rsidP="004C7355">
      <w:pPr>
        <w:widowControl w:val="0"/>
        <w:tabs>
          <w:tab w:val="center" w:pos="4320"/>
          <w:tab w:val="right" w:pos="8640"/>
        </w:tabs>
        <w:jc w:val="center"/>
        <w:outlineLvl w:val="0"/>
        <w:rPr>
          <w:b/>
          <w:bCs/>
          <w:sz w:val="28"/>
          <w:szCs w:val="28"/>
        </w:rPr>
      </w:pPr>
    </w:p>
    <w:p w:rsidR="004C7355" w:rsidRPr="004C7355" w:rsidRDefault="00460039" w:rsidP="004C7355">
      <w:pPr>
        <w:widowControl w:val="0"/>
        <w:tabs>
          <w:tab w:val="center" w:pos="4320"/>
          <w:tab w:val="right" w:pos="8640"/>
        </w:tabs>
        <w:jc w:val="center"/>
        <w:outlineLvl w:val="0"/>
        <w:rPr>
          <w:b/>
          <w:bCs/>
          <w:i/>
          <w:iCs/>
          <w:sz w:val="28"/>
          <w:szCs w:val="28"/>
        </w:rPr>
      </w:pPr>
      <w:r w:rsidRPr="00460039">
        <w:rPr>
          <w:noProof/>
        </w:rPr>
        <w:drawing>
          <wp:anchor distT="0" distB="0" distL="114300" distR="114300" simplePos="0" relativeHeight="251776000" behindDoc="0" locked="0" layoutInCell="1" allowOverlap="1">
            <wp:simplePos x="0" y="0"/>
            <wp:positionH relativeFrom="column">
              <wp:posOffset>503497</wp:posOffset>
            </wp:positionH>
            <wp:positionV relativeFrom="paragraph">
              <wp:posOffset>2443777</wp:posOffset>
            </wp:positionV>
            <wp:extent cx="5428800" cy="2599200"/>
            <wp:effectExtent l="0" t="0" r="635" b="0"/>
            <wp:wrapNone/>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8800" cy="2599200"/>
                    </a:xfrm>
                    <a:prstGeom prst="rect">
                      <a:avLst/>
                    </a:prstGeom>
                    <a:noFill/>
                    <a:ln>
                      <a:noFill/>
                    </a:ln>
                  </pic:spPr>
                </pic:pic>
              </a:graphicData>
            </a:graphic>
            <wp14:sizeRelH relativeFrom="margin">
              <wp14:pctWidth>0</wp14:pctWidth>
            </wp14:sizeRelH>
          </wp:anchor>
        </w:drawing>
      </w:r>
      <w:r w:rsidR="004C7355" w:rsidRPr="004C7355">
        <w:rPr>
          <w:b/>
          <w:bCs/>
          <w:sz w:val="28"/>
          <w:szCs w:val="28"/>
        </w:rPr>
        <w:br w:type="page"/>
      </w:r>
      <w:r w:rsidR="004C7355" w:rsidRPr="004C7355">
        <w:rPr>
          <w:b/>
          <w:bCs/>
          <w:sz w:val="28"/>
          <w:szCs w:val="28"/>
        </w:rPr>
        <w:lastRenderedPageBreak/>
        <w:t>Trends in the AIF Market</w:t>
      </w:r>
    </w:p>
    <w:p w:rsidR="004C7355" w:rsidRPr="004C7355" w:rsidRDefault="004C7355" w:rsidP="004C7355">
      <w:pPr>
        <w:widowControl w:val="0"/>
        <w:tabs>
          <w:tab w:val="center" w:pos="4320"/>
          <w:tab w:val="right" w:pos="8640"/>
        </w:tabs>
        <w:jc w:val="center"/>
        <w:rPr>
          <w:b/>
          <w:bCs/>
          <w:i/>
          <w:iCs/>
          <w:sz w:val="28"/>
          <w:szCs w:val="28"/>
        </w:rPr>
      </w:pPr>
      <w:r w:rsidRPr="004C7355">
        <w:rPr>
          <w:b/>
          <w:bCs/>
          <w:i/>
          <w:iCs/>
          <w:sz w:val="28"/>
          <w:szCs w:val="28"/>
        </w:rPr>
        <w:t>Net Assets by Country of Domiciliation</w:t>
      </w:r>
    </w:p>
    <w:p w:rsidR="004C7355" w:rsidRPr="004C7355" w:rsidRDefault="004C7355" w:rsidP="004C7355">
      <w:pPr>
        <w:jc w:val="both"/>
        <w:rPr>
          <w:bCs/>
          <w:color w:val="000000"/>
          <w:sz w:val="22"/>
          <w:szCs w:val="22"/>
        </w:rPr>
      </w:pPr>
    </w:p>
    <w:p w:rsidR="004C7355" w:rsidRPr="004C7355" w:rsidRDefault="006E684B" w:rsidP="004C7355">
      <w:pPr>
        <w:widowControl w:val="0"/>
        <w:tabs>
          <w:tab w:val="left" w:pos="720"/>
          <w:tab w:val="left" w:pos="4320"/>
          <w:tab w:val="right" w:pos="8640"/>
        </w:tabs>
        <w:spacing w:line="260" w:lineRule="exact"/>
        <w:jc w:val="both"/>
        <w:rPr>
          <w:b/>
          <w:bCs/>
          <w:color w:val="0000FF"/>
          <w:sz w:val="22"/>
          <w:szCs w:val="22"/>
        </w:rPr>
      </w:pPr>
      <w:r>
        <w:rPr>
          <w:b/>
          <w:bCs/>
          <w:color w:val="0000FF"/>
          <w:sz w:val="22"/>
          <w:szCs w:val="22"/>
        </w:rPr>
        <w:t>N</w:t>
      </w:r>
      <w:r w:rsidR="004C7355" w:rsidRPr="004C7355">
        <w:rPr>
          <w:b/>
          <w:bCs/>
          <w:color w:val="0000FF"/>
          <w:sz w:val="22"/>
          <w:szCs w:val="22"/>
        </w:rPr>
        <w:t>et assets of AIF increased 1.</w:t>
      </w:r>
      <w:r w:rsidR="00026F20">
        <w:rPr>
          <w:b/>
          <w:bCs/>
          <w:color w:val="0000FF"/>
          <w:sz w:val="22"/>
          <w:szCs w:val="22"/>
        </w:rPr>
        <w:t>3</w:t>
      </w:r>
      <w:r w:rsidR="004C7355" w:rsidRPr="004C7355">
        <w:rPr>
          <w:b/>
          <w:bCs/>
          <w:color w:val="0000FF"/>
          <w:sz w:val="22"/>
          <w:szCs w:val="22"/>
        </w:rPr>
        <w:t xml:space="preserve">% compared to </w:t>
      </w:r>
      <w:r>
        <w:rPr>
          <w:b/>
          <w:bCs/>
          <w:color w:val="0000FF"/>
          <w:sz w:val="22"/>
          <w:szCs w:val="22"/>
        </w:rPr>
        <w:t>the previous quarter</w:t>
      </w:r>
      <w:r w:rsidR="00026F20">
        <w:rPr>
          <w:b/>
          <w:bCs/>
          <w:color w:val="0000FF"/>
          <w:sz w:val="22"/>
          <w:szCs w:val="22"/>
        </w:rPr>
        <w:t xml:space="preserve"> and 7.1</w:t>
      </w:r>
      <w:r w:rsidR="004C7355" w:rsidRPr="004C7355">
        <w:rPr>
          <w:b/>
          <w:bCs/>
          <w:color w:val="0000FF"/>
          <w:sz w:val="22"/>
          <w:szCs w:val="22"/>
        </w:rPr>
        <w:t>% compared to end 2016.</w:t>
      </w:r>
    </w:p>
    <w:p w:rsidR="0044132F" w:rsidRDefault="0044132F" w:rsidP="004C7355">
      <w:pPr>
        <w:jc w:val="both"/>
        <w:rPr>
          <w:b/>
          <w:bCs/>
          <w:color w:val="0000FF"/>
          <w:sz w:val="22"/>
          <w:szCs w:val="22"/>
        </w:rPr>
      </w:pPr>
    </w:p>
    <w:p w:rsidR="004C7355" w:rsidRPr="00FD13B2" w:rsidRDefault="0044132F" w:rsidP="004C7355">
      <w:pPr>
        <w:jc w:val="both"/>
        <w:rPr>
          <w:bCs/>
          <w:color w:val="000000"/>
          <w:sz w:val="22"/>
          <w:szCs w:val="22"/>
        </w:rPr>
      </w:pPr>
      <w:r w:rsidRPr="00FD13B2">
        <w:rPr>
          <w:bCs/>
          <w:color w:val="000000"/>
          <w:sz w:val="22"/>
          <w:szCs w:val="22"/>
        </w:rPr>
        <w:t>In the</w:t>
      </w:r>
      <w:r w:rsidR="004C7355" w:rsidRPr="00FD13B2">
        <w:rPr>
          <w:bCs/>
          <w:color w:val="000000"/>
          <w:sz w:val="22"/>
          <w:szCs w:val="22"/>
        </w:rPr>
        <w:t xml:space="preserve"> largest AIF domiciles, the largest net asset growth in </w:t>
      </w:r>
      <w:r w:rsidR="000D2165" w:rsidRPr="00FD13B2">
        <w:rPr>
          <w:bCs/>
          <w:color w:val="000000"/>
          <w:sz w:val="22"/>
          <w:szCs w:val="22"/>
        </w:rPr>
        <w:t>Q4 2017</w:t>
      </w:r>
      <w:r w:rsidR="004C7355" w:rsidRPr="00FD13B2">
        <w:rPr>
          <w:bCs/>
          <w:color w:val="000000"/>
          <w:sz w:val="22"/>
          <w:szCs w:val="22"/>
        </w:rPr>
        <w:t xml:space="preserve"> was</w:t>
      </w:r>
      <w:r w:rsidR="00026F20" w:rsidRPr="00FD13B2">
        <w:rPr>
          <w:bCs/>
          <w:color w:val="000000"/>
          <w:sz w:val="22"/>
          <w:szCs w:val="22"/>
        </w:rPr>
        <w:t xml:space="preserve"> seen in Luxembourg </w:t>
      </w:r>
      <w:r w:rsidR="00EB3E32">
        <w:rPr>
          <w:bCs/>
          <w:color w:val="000000"/>
          <w:sz w:val="22"/>
          <w:szCs w:val="22"/>
        </w:rPr>
        <w:t>and</w:t>
      </w:r>
      <w:r w:rsidR="00EB3E32" w:rsidRPr="00EB3E32">
        <w:rPr>
          <w:bCs/>
          <w:color w:val="000000"/>
          <w:sz w:val="22"/>
          <w:szCs w:val="22"/>
        </w:rPr>
        <w:t xml:space="preserve"> Ireland (2.6%),</w:t>
      </w:r>
      <w:r w:rsidR="00EB3E32">
        <w:rPr>
          <w:bCs/>
          <w:color w:val="000000"/>
          <w:sz w:val="22"/>
          <w:szCs w:val="22"/>
        </w:rPr>
        <w:t xml:space="preserve"> </w:t>
      </w:r>
      <w:r w:rsidR="00804C68" w:rsidRPr="00FD13B2">
        <w:rPr>
          <w:bCs/>
          <w:color w:val="000000"/>
          <w:sz w:val="22"/>
          <w:szCs w:val="22"/>
        </w:rPr>
        <w:t>followed by</w:t>
      </w:r>
      <w:r w:rsidR="00026F20" w:rsidRPr="00FD13B2">
        <w:rPr>
          <w:bCs/>
          <w:color w:val="000000"/>
          <w:sz w:val="22"/>
          <w:szCs w:val="22"/>
        </w:rPr>
        <w:t xml:space="preserve"> United Kingdom (2.0</w:t>
      </w:r>
      <w:r w:rsidR="004C7355" w:rsidRPr="00FD13B2">
        <w:rPr>
          <w:bCs/>
          <w:color w:val="000000"/>
          <w:sz w:val="22"/>
          <w:szCs w:val="22"/>
        </w:rPr>
        <w:t xml:space="preserve">%), </w:t>
      </w:r>
      <w:r w:rsidR="00026F20" w:rsidRPr="00FD13B2">
        <w:rPr>
          <w:bCs/>
          <w:color w:val="000000"/>
          <w:sz w:val="22"/>
          <w:szCs w:val="22"/>
        </w:rPr>
        <w:t>Germany (1.0%), France (0.8%) and the Netherlands (0.3%). E</w:t>
      </w:r>
      <w:r w:rsidR="004C7355" w:rsidRPr="00FD13B2">
        <w:rPr>
          <w:bCs/>
          <w:color w:val="000000"/>
          <w:sz w:val="22"/>
          <w:szCs w:val="22"/>
        </w:rPr>
        <w:t xml:space="preserve">lsewhere in Europe, net assets grew strongly in </w:t>
      </w:r>
      <w:r w:rsidR="00026F20" w:rsidRPr="00FD13B2">
        <w:rPr>
          <w:bCs/>
          <w:color w:val="000000"/>
          <w:sz w:val="22"/>
          <w:szCs w:val="22"/>
        </w:rPr>
        <w:t xml:space="preserve">Cyprus (16.8%), Belgium (12.5%), and </w:t>
      </w:r>
      <w:r w:rsidR="001D7468" w:rsidRPr="00FD13B2">
        <w:rPr>
          <w:bCs/>
          <w:color w:val="000000"/>
          <w:sz w:val="22"/>
          <w:szCs w:val="22"/>
        </w:rPr>
        <w:t>Czechia</w:t>
      </w:r>
      <w:r w:rsidR="00026F20" w:rsidRPr="00FD13B2">
        <w:rPr>
          <w:bCs/>
          <w:color w:val="000000"/>
          <w:sz w:val="22"/>
          <w:szCs w:val="22"/>
        </w:rPr>
        <w:t xml:space="preserve"> (9.0%).</w:t>
      </w:r>
    </w:p>
    <w:p w:rsidR="00804C68" w:rsidRPr="00FD13B2" w:rsidRDefault="00804C68" w:rsidP="004C7355">
      <w:pPr>
        <w:jc w:val="both"/>
        <w:rPr>
          <w:bCs/>
          <w:color w:val="000000"/>
          <w:sz w:val="22"/>
          <w:szCs w:val="22"/>
        </w:rPr>
      </w:pPr>
    </w:p>
    <w:p w:rsidR="00804C68" w:rsidRPr="00FD13B2" w:rsidRDefault="00804C68" w:rsidP="00804C68">
      <w:pPr>
        <w:jc w:val="both"/>
        <w:rPr>
          <w:sz w:val="22"/>
          <w:szCs w:val="22"/>
        </w:rPr>
      </w:pPr>
      <w:r w:rsidRPr="00FD13B2">
        <w:rPr>
          <w:sz w:val="22"/>
          <w:szCs w:val="22"/>
        </w:rPr>
        <w:t xml:space="preserve">Of the five largest AIF domiciles, </w:t>
      </w:r>
      <w:r w:rsidR="00397F26" w:rsidRPr="00FD13B2">
        <w:rPr>
          <w:sz w:val="22"/>
          <w:szCs w:val="22"/>
        </w:rPr>
        <w:t xml:space="preserve">Luxembourg recorded net asset growth of 15.1%, followed by </w:t>
      </w:r>
      <w:r w:rsidR="003E6CC9" w:rsidRPr="00FD13B2">
        <w:rPr>
          <w:sz w:val="22"/>
          <w:szCs w:val="22"/>
        </w:rPr>
        <w:t>Ireland</w:t>
      </w:r>
      <w:r w:rsidR="00397F26" w:rsidRPr="00FD13B2">
        <w:rPr>
          <w:sz w:val="22"/>
          <w:szCs w:val="22"/>
        </w:rPr>
        <w:t xml:space="preserve"> (11.8%), Germany (6.9%), Netherlands (5.6%), and France (5.2%). </w:t>
      </w:r>
      <w:r w:rsidR="00D44600" w:rsidRPr="00FD13B2">
        <w:rPr>
          <w:sz w:val="22"/>
          <w:szCs w:val="22"/>
        </w:rPr>
        <w:t>Elsewhere in Europe, strong growth was seen in Czechia (41.2%), Cyprus (24.7%), Croatia (24.6%), Sweden (12.3%), and Belgium (11.5%).</w:t>
      </w:r>
    </w:p>
    <w:p w:rsidR="00804C68" w:rsidRDefault="00804C68" w:rsidP="004C7355">
      <w:pPr>
        <w:jc w:val="both"/>
        <w:rPr>
          <w:bCs/>
          <w:color w:val="000000"/>
          <w:sz w:val="22"/>
          <w:szCs w:val="22"/>
        </w:rPr>
      </w:pPr>
    </w:p>
    <w:p w:rsidR="00804C68" w:rsidRDefault="00804C68" w:rsidP="004C7355">
      <w:pPr>
        <w:jc w:val="both"/>
        <w:rPr>
          <w:bCs/>
          <w:color w:val="000000"/>
          <w:sz w:val="22"/>
          <w:szCs w:val="22"/>
        </w:rPr>
      </w:pPr>
    </w:p>
    <w:p w:rsidR="004C7355" w:rsidRPr="004C7355" w:rsidRDefault="00C80075" w:rsidP="004C7355">
      <w:pPr>
        <w:widowControl w:val="0"/>
        <w:tabs>
          <w:tab w:val="center" w:pos="4320"/>
          <w:tab w:val="right" w:pos="8640"/>
        </w:tabs>
        <w:jc w:val="center"/>
        <w:outlineLvl w:val="0"/>
        <w:rPr>
          <w:b/>
          <w:bCs/>
          <w:sz w:val="28"/>
          <w:szCs w:val="28"/>
        </w:rPr>
      </w:pPr>
      <w:r w:rsidRPr="00C80075">
        <w:rPr>
          <w:noProof/>
        </w:rPr>
        <w:drawing>
          <wp:anchor distT="0" distB="0" distL="114300" distR="114300" simplePos="0" relativeHeight="251797504" behindDoc="0" locked="0" layoutInCell="1" allowOverlap="1">
            <wp:simplePos x="0" y="0"/>
            <wp:positionH relativeFrom="column">
              <wp:posOffset>532765</wp:posOffset>
            </wp:positionH>
            <wp:positionV relativeFrom="paragraph">
              <wp:posOffset>104775</wp:posOffset>
            </wp:positionV>
            <wp:extent cx="5313600" cy="6012000"/>
            <wp:effectExtent l="0" t="0" r="190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3600" cy="60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355" w:rsidRPr="004C7355" w:rsidRDefault="004C7355" w:rsidP="004C7355">
      <w:pPr>
        <w:widowControl w:val="0"/>
        <w:tabs>
          <w:tab w:val="center" w:pos="4320"/>
          <w:tab w:val="right" w:pos="8640"/>
        </w:tabs>
        <w:jc w:val="center"/>
        <w:outlineLvl w:val="0"/>
        <w:rPr>
          <w:b/>
          <w:bCs/>
          <w:sz w:val="28"/>
          <w:szCs w:val="28"/>
        </w:rPr>
      </w:pPr>
    </w:p>
    <w:p w:rsidR="004C7355" w:rsidRPr="004C7355" w:rsidRDefault="004C7355" w:rsidP="004C7355">
      <w:pPr>
        <w:widowControl w:val="0"/>
        <w:tabs>
          <w:tab w:val="center" w:pos="4320"/>
          <w:tab w:val="right" w:pos="8640"/>
        </w:tabs>
        <w:jc w:val="center"/>
        <w:outlineLvl w:val="0"/>
        <w:rPr>
          <w:b/>
          <w:bCs/>
          <w:sz w:val="28"/>
          <w:szCs w:val="28"/>
        </w:rPr>
      </w:pPr>
    </w:p>
    <w:p w:rsidR="004C7355" w:rsidRPr="004C7355" w:rsidRDefault="004C7355" w:rsidP="004C7355">
      <w:pPr>
        <w:widowControl w:val="0"/>
        <w:tabs>
          <w:tab w:val="center" w:pos="4320"/>
          <w:tab w:val="right" w:pos="8640"/>
        </w:tabs>
        <w:jc w:val="center"/>
        <w:outlineLvl w:val="0"/>
        <w:rPr>
          <w:b/>
          <w:bCs/>
          <w:sz w:val="28"/>
          <w:szCs w:val="28"/>
        </w:rPr>
      </w:pPr>
    </w:p>
    <w:p w:rsidR="004C7355" w:rsidRPr="004C7355" w:rsidRDefault="004C7355" w:rsidP="004C7355">
      <w:pPr>
        <w:widowControl w:val="0"/>
        <w:tabs>
          <w:tab w:val="center" w:pos="4320"/>
          <w:tab w:val="right" w:pos="8640"/>
        </w:tabs>
        <w:jc w:val="center"/>
        <w:outlineLvl w:val="0"/>
        <w:rPr>
          <w:b/>
          <w:bCs/>
          <w:sz w:val="28"/>
          <w:szCs w:val="28"/>
        </w:rPr>
      </w:pPr>
    </w:p>
    <w:p w:rsidR="004C7355" w:rsidRPr="004C7355" w:rsidRDefault="004C7355" w:rsidP="004C7355">
      <w:pPr>
        <w:widowControl w:val="0"/>
        <w:tabs>
          <w:tab w:val="center" w:pos="4320"/>
          <w:tab w:val="right" w:pos="8640"/>
        </w:tabs>
        <w:jc w:val="center"/>
        <w:outlineLvl w:val="0"/>
        <w:rPr>
          <w:b/>
          <w:bCs/>
          <w:sz w:val="28"/>
          <w:szCs w:val="28"/>
        </w:rPr>
      </w:pPr>
      <w:r w:rsidRPr="004C7355">
        <w:rPr>
          <w:b/>
          <w:bCs/>
          <w:sz w:val="28"/>
          <w:szCs w:val="28"/>
        </w:rPr>
        <w:br w:type="page"/>
      </w:r>
      <w:r w:rsidRPr="004C7355">
        <w:rPr>
          <w:b/>
          <w:bCs/>
          <w:sz w:val="28"/>
          <w:szCs w:val="28"/>
        </w:rPr>
        <w:lastRenderedPageBreak/>
        <w:t>Trends in the European Investment Fund Industry</w:t>
      </w:r>
    </w:p>
    <w:p w:rsidR="004C7355" w:rsidRPr="004C7355" w:rsidRDefault="004C7355" w:rsidP="004C7355">
      <w:pPr>
        <w:widowControl w:val="0"/>
        <w:tabs>
          <w:tab w:val="center" w:pos="4320"/>
          <w:tab w:val="right" w:pos="8640"/>
        </w:tabs>
        <w:jc w:val="center"/>
        <w:outlineLvl w:val="0"/>
        <w:rPr>
          <w:b/>
          <w:bCs/>
          <w:i/>
          <w:iCs/>
          <w:sz w:val="28"/>
          <w:szCs w:val="28"/>
        </w:rPr>
      </w:pPr>
      <w:r w:rsidRPr="004C7355">
        <w:rPr>
          <w:b/>
          <w:bCs/>
          <w:i/>
          <w:iCs/>
          <w:sz w:val="28"/>
          <w:szCs w:val="28"/>
        </w:rPr>
        <w:t>Net Sales by Investment Type</w:t>
      </w:r>
    </w:p>
    <w:p w:rsidR="004C7355" w:rsidRPr="004C7355" w:rsidRDefault="004C7355" w:rsidP="004C7355">
      <w:pPr>
        <w:widowControl w:val="0"/>
        <w:tabs>
          <w:tab w:val="left" w:pos="720"/>
          <w:tab w:val="left" w:pos="4320"/>
          <w:tab w:val="right" w:pos="8640"/>
        </w:tabs>
        <w:spacing w:line="260" w:lineRule="exact"/>
        <w:jc w:val="both"/>
        <w:rPr>
          <w:sz w:val="22"/>
          <w:szCs w:val="22"/>
        </w:rPr>
      </w:pPr>
    </w:p>
    <w:p w:rsidR="004C7355" w:rsidRPr="004C7355" w:rsidRDefault="00D04011" w:rsidP="004C7355">
      <w:pPr>
        <w:widowControl w:val="0"/>
        <w:tabs>
          <w:tab w:val="left" w:pos="720"/>
          <w:tab w:val="left" w:pos="4320"/>
          <w:tab w:val="right" w:pos="8640"/>
        </w:tabs>
        <w:spacing w:line="260" w:lineRule="exact"/>
        <w:jc w:val="both"/>
        <w:rPr>
          <w:b/>
          <w:color w:val="0000FF"/>
          <w:sz w:val="22"/>
          <w:szCs w:val="22"/>
          <w:lang w:val="en-GB"/>
        </w:rPr>
      </w:pPr>
      <w:r>
        <w:rPr>
          <w:b/>
          <w:color w:val="0000FF"/>
          <w:sz w:val="22"/>
          <w:szCs w:val="22"/>
          <w:lang w:val="en-GB"/>
        </w:rPr>
        <w:t xml:space="preserve">The combined net sales of the investment industry market in Europe, i.e. the market for UCITS and AIF, recorded net sales </w:t>
      </w:r>
      <w:r w:rsidR="00026F20">
        <w:rPr>
          <w:b/>
          <w:bCs/>
          <w:color w:val="0000FF"/>
          <w:sz w:val="22"/>
          <w:szCs w:val="22"/>
        </w:rPr>
        <w:t xml:space="preserve">of EUR 189 </w:t>
      </w:r>
      <w:r w:rsidR="004C7355" w:rsidRPr="004C7355">
        <w:rPr>
          <w:b/>
          <w:bCs/>
          <w:color w:val="0000FF"/>
          <w:sz w:val="22"/>
          <w:szCs w:val="22"/>
        </w:rPr>
        <w:t xml:space="preserve">billion during </w:t>
      </w:r>
      <w:r w:rsidR="000D2165">
        <w:rPr>
          <w:b/>
          <w:bCs/>
          <w:color w:val="0000FF"/>
          <w:sz w:val="22"/>
          <w:szCs w:val="22"/>
        </w:rPr>
        <w:t>Q4 2017</w:t>
      </w:r>
      <w:r w:rsidR="00026F20">
        <w:rPr>
          <w:b/>
          <w:bCs/>
          <w:color w:val="0000FF"/>
          <w:sz w:val="22"/>
          <w:szCs w:val="22"/>
        </w:rPr>
        <w:t>, compared to EUR 245</w:t>
      </w:r>
      <w:r w:rsidR="004C7355" w:rsidRPr="004C7355">
        <w:rPr>
          <w:b/>
          <w:bCs/>
          <w:color w:val="0000FF"/>
          <w:sz w:val="22"/>
          <w:szCs w:val="22"/>
        </w:rPr>
        <w:t xml:space="preserve"> billion in </w:t>
      </w:r>
      <w:r w:rsidR="000D2165">
        <w:rPr>
          <w:b/>
          <w:bCs/>
          <w:color w:val="0000FF"/>
          <w:sz w:val="22"/>
          <w:szCs w:val="22"/>
        </w:rPr>
        <w:t>Q3 2017</w:t>
      </w:r>
      <w:r w:rsidR="004C7355" w:rsidRPr="004C7355">
        <w:rPr>
          <w:b/>
          <w:bCs/>
          <w:color w:val="0000FF"/>
          <w:sz w:val="22"/>
          <w:szCs w:val="22"/>
        </w:rPr>
        <w:t xml:space="preserve">. </w:t>
      </w:r>
      <w:r w:rsidR="00026F20">
        <w:rPr>
          <w:b/>
          <w:color w:val="0000FF"/>
          <w:sz w:val="22"/>
          <w:szCs w:val="22"/>
          <w:lang w:val="en-GB"/>
        </w:rPr>
        <w:t xml:space="preserve">In 2017, European investment funds </w:t>
      </w:r>
      <w:r w:rsidR="00EF3370">
        <w:rPr>
          <w:b/>
          <w:color w:val="0000FF"/>
          <w:sz w:val="22"/>
          <w:szCs w:val="22"/>
          <w:lang w:val="en-GB"/>
        </w:rPr>
        <w:t>attracted net sales of EUR 949</w:t>
      </w:r>
      <w:r w:rsidR="004C7355" w:rsidRPr="004C7355">
        <w:rPr>
          <w:b/>
          <w:color w:val="0000FF"/>
          <w:sz w:val="22"/>
          <w:szCs w:val="22"/>
          <w:lang w:val="en-GB"/>
        </w:rPr>
        <w:t xml:space="preserve"> billion</w:t>
      </w:r>
      <w:r>
        <w:rPr>
          <w:b/>
          <w:color w:val="0000FF"/>
          <w:sz w:val="22"/>
          <w:szCs w:val="22"/>
          <w:lang w:val="en-GB"/>
        </w:rPr>
        <w:t xml:space="preserve">, </w:t>
      </w:r>
      <w:r w:rsidR="00EF3370">
        <w:rPr>
          <w:b/>
          <w:color w:val="0000FF"/>
          <w:sz w:val="22"/>
          <w:szCs w:val="22"/>
          <w:lang w:val="en-GB"/>
        </w:rPr>
        <w:t>marking 2017 as a record year.</w:t>
      </w:r>
    </w:p>
    <w:p w:rsidR="004C7355" w:rsidRPr="004C7355" w:rsidRDefault="004C7355" w:rsidP="004C7355">
      <w:pPr>
        <w:widowControl w:val="0"/>
        <w:tabs>
          <w:tab w:val="left" w:pos="720"/>
          <w:tab w:val="left" w:pos="4320"/>
          <w:tab w:val="right" w:pos="8640"/>
        </w:tabs>
        <w:spacing w:line="260" w:lineRule="exact"/>
        <w:jc w:val="both"/>
        <w:rPr>
          <w:b/>
          <w:bCs/>
          <w:color w:val="0000FF"/>
          <w:sz w:val="22"/>
          <w:szCs w:val="22"/>
          <w:lang w:val="en-GB"/>
        </w:rPr>
      </w:pPr>
    </w:p>
    <w:p w:rsidR="004C7355" w:rsidRPr="004C7355" w:rsidRDefault="004117F9" w:rsidP="004C7355">
      <w:pPr>
        <w:widowControl w:val="0"/>
        <w:tabs>
          <w:tab w:val="left" w:pos="720"/>
          <w:tab w:val="left" w:pos="4320"/>
          <w:tab w:val="right" w:pos="8640"/>
        </w:tabs>
        <w:spacing w:line="260" w:lineRule="exact"/>
        <w:jc w:val="both"/>
        <w:rPr>
          <w:bCs/>
          <w:color w:val="000000"/>
          <w:sz w:val="22"/>
          <w:szCs w:val="22"/>
          <w:lang w:val="en-GB"/>
        </w:rPr>
      </w:pPr>
      <w:r>
        <w:rPr>
          <w:bCs/>
          <w:color w:val="000000"/>
          <w:sz w:val="22"/>
          <w:szCs w:val="22"/>
          <w:lang w:val="en-GB"/>
        </w:rPr>
        <w:t>In Q4</w:t>
      </w:r>
      <w:r w:rsidR="00EF3370">
        <w:rPr>
          <w:bCs/>
          <w:color w:val="000000"/>
          <w:sz w:val="22"/>
          <w:szCs w:val="22"/>
          <w:lang w:val="en-GB"/>
        </w:rPr>
        <w:t xml:space="preserve"> 2017, n</w:t>
      </w:r>
      <w:r w:rsidR="004C7355" w:rsidRPr="004C7355">
        <w:rPr>
          <w:bCs/>
          <w:color w:val="000000"/>
          <w:sz w:val="22"/>
          <w:szCs w:val="22"/>
          <w:lang w:val="en-GB"/>
        </w:rPr>
        <w:t xml:space="preserve">et sales of </w:t>
      </w:r>
      <w:r w:rsidR="00EF3370">
        <w:rPr>
          <w:bCs/>
          <w:color w:val="000000"/>
          <w:sz w:val="22"/>
          <w:szCs w:val="22"/>
          <w:lang w:val="en-GB"/>
        </w:rPr>
        <w:t>equity funds increased to EUR 69</w:t>
      </w:r>
      <w:r>
        <w:rPr>
          <w:bCs/>
          <w:color w:val="000000"/>
          <w:sz w:val="22"/>
          <w:szCs w:val="22"/>
          <w:lang w:val="en-GB"/>
        </w:rPr>
        <w:t xml:space="preserve"> billion</w:t>
      </w:r>
      <w:r w:rsidR="00D04011">
        <w:rPr>
          <w:bCs/>
          <w:color w:val="000000"/>
          <w:sz w:val="22"/>
          <w:szCs w:val="22"/>
          <w:lang w:val="en-GB"/>
        </w:rPr>
        <w:t>,</w:t>
      </w:r>
      <w:r w:rsidR="00EF3370">
        <w:rPr>
          <w:bCs/>
          <w:color w:val="000000"/>
          <w:sz w:val="22"/>
          <w:szCs w:val="22"/>
          <w:lang w:val="en-GB"/>
        </w:rPr>
        <w:t xml:space="preserve"> compared to EUR 50</w:t>
      </w:r>
      <w:r w:rsidR="004C7355" w:rsidRPr="004C7355">
        <w:rPr>
          <w:bCs/>
          <w:color w:val="000000"/>
          <w:sz w:val="22"/>
          <w:szCs w:val="22"/>
          <w:lang w:val="en-GB"/>
        </w:rPr>
        <w:t xml:space="preserve"> billion in the previous quarter. Net sales of </w:t>
      </w:r>
      <w:r w:rsidR="00EF3370">
        <w:rPr>
          <w:bCs/>
          <w:color w:val="000000"/>
          <w:sz w:val="22"/>
          <w:szCs w:val="22"/>
          <w:lang w:val="en-GB"/>
        </w:rPr>
        <w:t>bond funds dec</w:t>
      </w:r>
      <w:r w:rsidR="001D7468">
        <w:rPr>
          <w:bCs/>
          <w:color w:val="000000"/>
          <w:sz w:val="22"/>
          <w:szCs w:val="22"/>
          <w:lang w:val="en-GB"/>
        </w:rPr>
        <w:t>reased from EUR 71 billion in Q3 2017</w:t>
      </w:r>
      <w:r w:rsidR="00EF3370">
        <w:rPr>
          <w:bCs/>
          <w:color w:val="000000"/>
          <w:sz w:val="22"/>
          <w:szCs w:val="22"/>
          <w:lang w:val="en-GB"/>
        </w:rPr>
        <w:t xml:space="preserve"> to EUR 39</w:t>
      </w:r>
      <w:r w:rsidR="004C7355" w:rsidRPr="004C7355">
        <w:rPr>
          <w:bCs/>
          <w:color w:val="000000"/>
          <w:sz w:val="22"/>
          <w:szCs w:val="22"/>
          <w:lang w:val="en-GB"/>
        </w:rPr>
        <w:t xml:space="preserve"> billion in </w:t>
      </w:r>
      <w:r w:rsidR="000D2165">
        <w:rPr>
          <w:bCs/>
          <w:color w:val="000000"/>
          <w:sz w:val="22"/>
          <w:szCs w:val="22"/>
          <w:lang w:val="en-GB"/>
        </w:rPr>
        <w:t>Q4 2017</w:t>
      </w:r>
      <w:r w:rsidR="004C7355" w:rsidRPr="004C7355">
        <w:rPr>
          <w:bCs/>
          <w:color w:val="000000"/>
          <w:sz w:val="22"/>
          <w:szCs w:val="22"/>
          <w:lang w:val="en-GB"/>
        </w:rPr>
        <w:t>. Net sales of m</w:t>
      </w:r>
      <w:r w:rsidR="00EF3370">
        <w:rPr>
          <w:bCs/>
          <w:color w:val="000000"/>
          <w:sz w:val="22"/>
          <w:szCs w:val="22"/>
          <w:lang w:val="en-GB"/>
        </w:rPr>
        <w:t>ulti-asset funds totalled EUR 64</w:t>
      </w:r>
      <w:r w:rsidR="004C7355" w:rsidRPr="004C7355">
        <w:rPr>
          <w:bCs/>
          <w:color w:val="000000"/>
          <w:sz w:val="22"/>
          <w:szCs w:val="22"/>
          <w:lang w:val="en-GB"/>
        </w:rPr>
        <w:t xml:space="preserve"> billion in </w:t>
      </w:r>
      <w:r w:rsidR="000D2165">
        <w:rPr>
          <w:bCs/>
          <w:color w:val="000000"/>
          <w:sz w:val="22"/>
          <w:szCs w:val="22"/>
          <w:lang w:val="en-GB"/>
        </w:rPr>
        <w:t>Q4 2017</w:t>
      </w:r>
      <w:r>
        <w:rPr>
          <w:bCs/>
          <w:color w:val="000000"/>
          <w:sz w:val="22"/>
          <w:szCs w:val="22"/>
          <w:lang w:val="en-GB"/>
        </w:rPr>
        <w:t>, up</w:t>
      </w:r>
      <w:r w:rsidR="00EF3370">
        <w:rPr>
          <w:bCs/>
          <w:color w:val="000000"/>
          <w:sz w:val="22"/>
          <w:szCs w:val="22"/>
          <w:lang w:val="en-GB"/>
        </w:rPr>
        <w:t xml:space="preserve"> from EUR 49</w:t>
      </w:r>
      <w:r w:rsidR="004C7355" w:rsidRPr="004C7355">
        <w:rPr>
          <w:bCs/>
          <w:color w:val="000000"/>
          <w:sz w:val="22"/>
          <w:szCs w:val="22"/>
          <w:lang w:val="en-GB"/>
        </w:rPr>
        <w:t xml:space="preserve"> billion in the previous quarter. Money</w:t>
      </w:r>
      <w:r w:rsidR="00EF3370">
        <w:rPr>
          <w:bCs/>
          <w:color w:val="000000"/>
          <w:sz w:val="22"/>
          <w:szCs w:val="22"/>
          <w:lang w:val="en-GB"/>
        </w:rPr>
        <w:t xml:space="preserve"> market funds experienced net outflows </w:t>
      </w:r>
      <w:r w:rsidR="001D7468">
        <w:rPr>
          <w:bCs/>
          <w:color w:val="000000"/>
          <w:sz w:val="22"/>
          <w:szCs w:val="22"/>
          <w:lang w:val="en-GB"/>
        </w:rPr>
        <w:t>of</w:t>
      </w:r>
      <w:r w:rsidR="00EF3370">
        <w:rPr>
          <w:bCs/>
          <w:color w:val="000000"/>
          <w:sz w:val="22"/>
          <w:szCs w:val="22"/>
          <w:lang w:val="en-GB"/>
        </w:rPr>
        <w:t xml:space="preserve"> EUR 3 billion, compared to net inflows of EUR 35</w:t>
      </w:r>
      <w:r w:rsidR="004C7355" w:rsidRPr="004C7355">
        <w:rPr>
          <w:bCs/>
          <w:color w:val="000000"/>
          <w:sz w:val="22"/>
          <w:szCs w:val="22"/>
          <w:lang w:val="en-GB"/>
        </w:rPr>
        <w:t xml:space="preserve"> billion in the </w:t>
      </w:r>
      <w:r w:rsidR="00EF3370">
        <w:rPr>
          <w:bCs/>
          <w:color w:val="000000"/>
          <w:sz w:val="22"/>
          <w:szCs w:val="22"/>
          <w:lang w:val="en-GB"/>
        </w:rPr>
        <w:t>thir</w:t>
      </w:r>
      <w:r w:rsidR="00FD4A0B">
        <w:rPr>
          <w:bCs/>
          <w:color w:val="000000"/>
          <w:sz w:val="22"/>
          <w:szCs w:val="22"/>
          <w:lang w:val="en-GB"/>
        </w:rPr>
        <w:t>d</w:t>
      </w:r>
      <w:r w:rsidR="004C7355" w:rsidRPr="004C7355">
        <w:rPr>
          <w:bCs/>
          <w:color w:val="000000"/>
          <w:sz w:val="22"/>
          <w:szCs w:val="22"/>
          <w:lang w:val="en-GB"/>
        </w:rPr>
        <w:t xml:space="preserve"> quarter of 2017. Net sales of other funds (including real estate, guaranteed/protected funds and other funds which do not fit any of the categories below or for which information i</w:t>
      </w:r>
      <w:r w:rsidR="00EF3370">
        <w:rPr>
          <w:bCs/>
          <w:color w:val="000000"/>
          <w:sz w:val="22"/>
          <w:szCs w:val="22"/>
          <w:lang w:val="en-GB"/>
        </w:rPr>
        <w:t xml:space="preserve">s not available) totalled EUR 21 billion, </w:t>
      </w:r>
      <w:r w:rsidR="001D7468">
        <w:rPr>
          <w:bCs/>
          <w:color w:val="000000"/>
          <w:sz w:val="22"/>
          <w:szCs w:val="22"/>
          <w:lang w:val="en-GB"/>
        </w:rPr>
        <w:t xml:space="preserve">down from </w:t>
      </w:r>
      <w:r w:rsidR="00EF3370">
        <w:rPr>
          <w:bCs/>
          <w:color w:val="000000"/>
          <w:sz w:val="22"/>
          <w:szCs w:val="22"/>
          <w:lang w:val="en-GB"/>
        </w:rPr>
        <w:t>EUR 41</w:t>
      </w:r>
      <w:r w:rsidR="004C7355" w:rsidRPr="004C7355">
        <w:rPr>
          <w:bCs/>
          <w:color w:val="000000"/>
          <w:sz w:val="22"/>
          <w:szCs w:val="22"/>
          <w:lang w:val="en-GB"/>
        </w:rPr>
        <w:t xml:space="preserve"> billion during the previous quarter.</w:t>
      </w:r>
    </w:p>
    <w:p w:rsidR="004C7355" w:rsidRPr="004C7355" w:rsidRDefault="004C7355" w:rsidP="004C7355">
      <w:pPr>
        <w:widowControl w:val="0"/>
        <w:tabs>
          <w:tab w:val="left" w:pos="720"/>
          <w:tab w:val="left" w:pos="4320"/>
          <w:tab w:val="right" w:pos="8640"/>
        </w:tabs>
        <w:spacing w:line="260" w:lineRule="exact"/>
        <w:jc w:val="both"/>
        <w:rPr>
          <w:bCs/>
          <w:color w:val="000000"/>
          <w:sz w:val="22"/>
          <w:szCs w:val="22"/>
          <w:lang w:val="en-GB"/>
        </w:rPr>
      </w:pPr>
    </w:p>
    <w:p w:rsidR="004C7355" w:rsidRPr="004C7355" w:rsidRDefault="008C7387" w:rsidP="004C7355">
      <w:pPr>
        <w:widowControl w:val="0"/>
        <w:tabs>
          <w:tab w:val="left" w:pos="720"/>
          <w:tab w:val="left" w:pos="4320"/>
          <w:tab w:val="right" w:pos="8640"/>
        </w:tabs>
        <w:spacing w:line="260" w:lineRule="exact"/>
        <w:jc w:val="both"/>
        <w:rPr>
          <w:bCs/>
          <w:color w:val="000000"/>
          <w:sz w:val="22"/>
          <w:szCs w:val="22"/>
          <w:lang w:val="en-GB"/>
        </w:rPr>
      </w:pPr>
      <w:r>
        <w:rPr>
          <w:noProof/>
        </w:rPr>
        <w:drawing>
          <wp:anchor distT="0" distB="0" distL="114300" distR="114300" simplePos="0" relativeHeight="251803648" behindDoc="0" locked="0" layoutInCell="1" allowOverlap="1" wp14:anchorId="7DFF4BEC">
            <wp:simplePos x="0" y="0"/>
            <wp:positionH relativeFrom="column">
              <wp:posOffset>3236928</wp:posOffset>
            </wp:positionH>
            <wp:positionV relativeFrom="page">
              <wp:posOffset>3395345</wp:posOffset>
            </wp:positionV>
            <wp:extent cx="3218400" cy="2181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8400" cy="2181600"/>
                    </a:xfrm>
                    <a:prstGeom prst="rect">
                      <a:avLst/>
                    </a:prstGeom>
                    <a:noFill/>
                  </pic:spPr>
                </pic:pic>
              </a:graphicData>
            </a:graphic>
            <wp14:sizeRelH relativeFrom="page">
              <wp14:pctWidth>0</wp14:pctWidth>
            </wp14:sizeRelH>
            <wp14:sizeRelV relativeFrom="page">
              <wp14:pctHeight>0</wp14:pctHeight>
            </wp14:sizeRelV>
          </wp:anchor>
        </w:drawing>
      </w:r>
      <w:r w:rsidR="000A50A1">
        <w:rPr>
          <w:noProof/>
        </w:rPr>
        <w:drawing>
          <wp:anchor distT="0" distB="0" distL="114300" distR="114300" simplePos="0" relativeHeight="251764736" behindDoc="0" locked="0" layoutInCell="1" allowOverlap="1" wp14:anchorId="74F3A158">
            <wp:simplePos x="0" y="0"/>
            <wp:positionH relativeFrom="column">
              <wp:posOffset>-144809</wp:posOffset>
            </wp:positionH>
            <wp:positionV relativeFrom="page">
              <wp:posOffset>3474052</wp:posOffset>
            </wp:positionV>
            <wp:extent cx="3430800" cy="2088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30800" cy="2088000"/>
                    </a:xfrm>
                    <a:prstGeom prst="rect">
                      <a:avLst/>
                    </a:prstGeom>
                    <a:noFill/>
                  </pic:spPr>
                </pic:pic>
              </a:graphicData>
            </a:graphic>
            <wp14:sizeRelH relativeFrom="page">
              <wp14:pctWidth>0</wp14:pctWidth>
            </wp14:sizeRelH>
            <wp14:sizeRelV relativeFrom="page">
              <wp14:pctHeight>0</wp14:pctHeight>
            </wp14:sizeRelV>
          </wp:anchor>
        </w:drawing>
      </w:r>
    </w:p>
    <w:p w:rsidR="004C7355" w:rsidRPr="004C7355" w:rsidRDefault="000033A4" w:rsidP="004C7355">
      <w:pPr>
        <w:widowControl w:val="0"/>
        <w:tabs>
          <w:tab w:val="center" w:pos="4320"/>
          <w:tab w:val="right" w:pos="8640"/>
        </w:tabs>
        <w:jc w:val="center"/>
        <w:rPr>
          <w:sz w:val="20"/>
          <w:szCs w:val="20"/>
          <w:lang w:val="en-GB"/>
        </w:rPr>
      </w:pPr>
      <w:r>
        <w:rPr>
          <w:noProof/>
        </w:rPr>
        <w:drawing>
          <wp:anchor distT="0" distB="0" distL="114300" distR="114300" simplePos="0" relativeHeight="251767808" behindDoc="0" locked="0" layoutInCell="1" allowOverlap="1" wp14:anchorId="798022E8" wp14:editId="43C80A1A">
            <wp:simplePos x="0" y="0"/>
            <wp:positionH relativeFrom="column">
              <wp:posOffset>3281045</wp:posOffset>
            </wp:positionH>
            <wp:positionV relativeFrom="page">
              <wp:posOffset>5562600</wp:posOffset>
            </wp:positionV>
            <wp:extent cx="3167380" cy="214884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7380" cy="2148840"/>
                    </a:xfrm>
                    <a:prstGeom prst="rect">
                      <a:avLst/>
                    </a:prstGeom>
                    <a:noFill/>
                  </pic:spPr>
                </pic:pic>
              </a:graphicData>
            </a:graphic>
            <wp14:sizeRelH relativeFrom="page">
              <wp14:pctWidth>0</wp14:pctWidth>
            </wp14:sizeRelH>
            <wp14:sizeRelV relativeFrom="page">
              <wp14:pctHeight>0</wp14:pctHeight>
            </wp14:sizeRelV>
          </wp:anchor>
        </w:drawing>
      </w:r>
      <w:r w:rsidR="000A50A1">
        <w:rPr>
          <w:noProof/>
        </w:rPr>
        <w:drawing>
          <wp:anchor distT="0" distB="0" distL="114300" distR="114300" simplePos="0" relativeHeight="251769856" behindDoc="0" locked="0" layoutInCell="1" allowOverlap="1" wp14:anchorId="5541FB4B" wp14:editId="5F5254FF">
            <wp:simplePos x="0" y="0"/>
            <wp:positionH relativeFrom="column">
              <wp:posOffset>3303270</wp:posOffset>
            </wp:positionH>
            <wp:positionV relativeFrom="page">
              <wp:posOffset>7720965</wp:posOffset>
            </wp:positionV>
            <wp:extent cx="3150000" cy="21348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0000" cy="2134800"/>
                    </a:xfrm>
                    <a:prstGeom prst="rect">
                      <a:avLst/>
                    </a:prstGeom>
                    <a:noFill/>
                  </pic:spPr>
                </pic:pic>
              </a:graphicData>
            </a:graphic>
            <wp14:sizeRelH relativeFrom="page">
              <wp14:pctWidth>0</wp14:pctWidth>
            </wp14:sizeRelH>
            <wp14:sizeRelV relativeFrom="page">
              <wp14:pctHeight>0</wp14:pctHeight>
            </wp14:sizeRelV>
          </wp:anchor>
        </w:drawing>
      </w:r>
      <w:r w:rsidR="000A50A1">
        <w:rPr>
          <w:noProof/>
        </w:rPr>
        <w:drawing>
          <wp:anchor distT="0" distB="0" distL="114300" distR="114300" simplePos="0" relativeHeight="251768832" behindDoc="0" locked="0" layoutInCell="1" allowOverlap="1" wp14:anchorId="749391ED" wp14:editId="5C522263">
            <wp:simplePos x="0" y="0"/>
            <wp:positionH relativeFrom="column">
              <wp:posOffset>-148856</wp:posOffset>
            </wp:positionH>
            <wp:positionV relativeFrom="page">
              <wp:posOffset>7666976</wp:posOffset>
            </wp:positionV>
            <wp:extent cx="3272400" cy="22176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2400" cy="2217600"/>
                    </a:xfrm>
                    <a:prstGeom prst="rect">
                      <a:avLst/>
                    </a:prstGeom>
                    <a:noFill/>
                  </pic:spPr>
                </pic:pic>
              </a:graphicData>
            </a:graphic>
            <wp14:sizeRelH relativeFrom="page">
              <wp14:pctWidth>0</wp14:pctWidth>
            </wp14:sizeRelH>
            <wp14:sizeRelV relativeFrom="page">
              <wp14:pctHeight>0</wp14:pctHeight>
            </wp14:sizeRelV>
          </wp:anchor>
        </w:drawing>
      </w:r>
      <w:r w:rsidR="000A50A1">
        <w:rPr>
          <w:noProof/>
        </w:rPr>
        <w:drawing>
          <wp:anchor distT="0" distB="0" distL="114300" distR="114300" simplePos="0" relativeHeight="251766784" behindDoc="0" locked="0" layoutInCell="1" allowOverlap="1" wp14:anchorId="059F942F">
            <wp:simplePos x="0" y="0"/>
            <wp:positionH relativeFrom="column">
              <wp:posOffset>-83162</wp:posOffset>
            </wp:positionH>
            <wp:positionV relativeFrom="page">
              <wp:posOffset>5565140</wp:posOffset>
            </wp:positionV>
            <wp:extent cx="3186000" cy="2160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6000" cy="2160000"/>
                    </a:xfrm>
                    <a:prstGeom prst="rect">
                      <a:avLst/>
                    </a:prstGeom>
                    <a:noFill/>
                  </pic:spPr>
                </pic:pic>
              </a:graphicData>
            </a:graphic>
            <wp14:sizeRelH relativeFrom="page">
              <wp14:pctWidth>0</wp14:pctWidth>
            </wp14:sizeRelH>
            <wp14:sizeRelV relativeFrom="page">
              <wp14:pctHeight>0</wp14:pctHeight>
            </wp14:sizeRelV>
          </wp:anchor>
        </w:drawing>
      </w:r>
      <w:r w:rsidR="004C7355" w:rsidRPr="004C7355">
        <w:rPr>
          <w:b/>
          <w:bCs/>
          <w:iCs/>
          <w:sz w:val="28"/>
          <w:szCs w:val="28"/>
        </w:rPr>
        <w:br w:type="page"/>
      </w:r>
      <w:r w:rsidR="004C7355" w:rsidRPr="004C7355">
        <w:rPr>
          <w:sz w:val="20"/>
          <w:szCs w:val="20"/>
          <w:lang w:val="en-GB"/>
        </w:rPr>
        <w:lastRenderedPageBreak/>
        <w:t xml:space="preserve"> </w:t>
      </w:r>
    </w:p>
    <w:p w:rsidR="001142A5" w:rsidRPr="004C7355" w:rsidRDefault="001142A5" w:rsidP="001142A5">
      <w:pPr>
        <w:pStyle w:val="Footer"/>
        <w:jc w:val="center"/>
        <w:rPr>
          <w:b/>
          <w:bCs/>
          <w:sz w:val="28"/>
          <w:szCs w:val="28"/>
          <w:lang w:val="en-US"/>
          <w14:shadow w14:blurRad="50800" w14:dist="38100" w14:dir="2700000" w14:sx="100000" w14:sy="100000" w14:kx="0" w14:ky="0" w14:algn="tl">
            <w14:srgbClr w14:val="000000">
              <w14:alpha w14:val="60000"/>
            </w14:srgbClr>
          </w14:shadow>
        </w:rPr>
      </w:pPr>
      <w:r w:rsidRPr="004C7355">
        <w:rPr>
          <w:b/>
          <w:bCs/>
          <w:sz w:val="28"/>
          <w:szCs w:val="28"/>
          <w:lang w:val="en-US"/>
          <w14:shadow w14:blurRad="50800" w14:dist="38100" w14:dir="2700000" w14:sx="100000" w14:sy="100000" w14:kx="0" w14:ky="0" w14:algn="tl">
            <w14:srgbClr w14:val="000000">
              <w14:alpha w14:val="60000"/>
            </w14:srgbClr>
          </w14:shadow>
        </w:rPr>
        <w:t>Trends in the European Investment Fund Industry</w:t>
      </w:r>
    </w:p>
    <w:p w:rsidR="001142A5" w:rsidRDefault="001142A5" w:rsidP="001142A5">
      <w:pPr>
        <w:pStyle w:val="Footer"/>
        <w:jc w:val="center"/>
        <w:rPr>
          <w:b/>
          <w:bCs/>
          <w:i/>
          <w:iCs/>
          <w:sz w:val="16"/>
          <w:szCs w:val="16"/>
          <w:lang w:val="en-US"/>
        </w:rPr>
      </w:pPr>
      <w:r w:rsidRPr="004C7355">
        <w:rPr>
          <w:b/>
          <w:bCs/>
          <w:i/>
          <w:iCs/>
          <w:sz w:val="28"/>
          <w:szCs w:val="28"/>
          <w:lang w:val="en-US"/>
          <w14:shadow w14:blurRad="50800" w14:dist="38100" w14:dir="2700000" w14:sx="100000" w14:sy="100000" w14:kx="0" w14:ky="0" w14:algn="tl">
            <w14:srgbClr w14:val="000000">
              <w14:alpha w14:val="60000"/>
            </w14:srgbClr>
          </w14:shadow>
        </w:rPr>
        <w:t>Net Assets by Country of Domiciliation</w:t>
      </w:r>
    </w:p>
    <w:p w:rsidR="001142A5" w:rsidRDefault="001142A5" w:rsidP="001142A5">
      <w:pPr>
        <w:pStyle w:val="Footer"/>
        <w:tabs>
          <w:tab w:val="left" w:pos="720"/>
          <w:tab w:val="left" w:pos="4320"/>
        </w:tabs>
        <w:spacing w:line="260" w:lineRule="exact"/>
        <w:jc w:val="both"/>
        <w:rPr>
          <w:sz w:val="22"/>
          <w:szCs w:val="22"/>
          <w:lang w:val="en-US"/>
        </w:rPr>
      </w:pPr>
    </w:p>
    <w:p w:rsidR="001142A5" w:rsidRPr="00D62403" w:rsidRDefault="001142A5" w:rsidP="001142A5">
      <w:pPr>
        <w:pStyle w:val="FootnoteText"/>
        <w:jc w:val="both"/>
        <w:rPr>
          <w:b/>
          <w:color w:val="0000FF"/>
          <w:sz w:val="22"/>
          <w:szCs w:val="22"/>
        </w:rPr>
      </w:pPr>
      <w:bookmarkStart w:id="2" w:name="OLE_LINK4"/>
      <w:bookmarkStart w:id="3" w:name="OLE_LINK5"/>
      <w:r>
        <w:rPr>
          <w:b/>
          <w:color w:val="0000FF"/>
          <w:sz w:val="22"/>
          <w:szCs w:val="22"/>
        </w:rPr>
        <w:t>Total net as</w:t>
      </w:r>
      <w:r w:rsidR="004A01D1">
        <w:rPr>
          <w:b/>
          <w:color w:val="0000FF"/>
          <w:sz w:val="22"/>
          <w:szCs w:val="22"/>
        </w:rPr>
        <w:t>sets of the European investment</w:t>
      </w:r>
      <w:r w:rsidR="0062560A">
        <w:rPr>
          <w:b/>
          <w:color w:val="0000FF"/>
          <w:sz w:val="22"/>
          <w:szCs w:val="22"/>
        </w:rPr>
        <w:t xml:space="preserve"> increased</w:t>
      </w:r>
      <w:r w:rsidR="00EB020D">
        <w:rPr>
          <w:b/>
          <w:color w:val="0000FF"/>
          <w:sz w:val="22"/>
          <w:szCs w:val="22"/>
        </w:rPr>
        <w:t xml:space="preserve"> to EUR 15,623</w:t>
      </w:r>
      <w:r w:rsidR="0062560A">
        <w:rPr>
          <w:b/>
          <w:color w:val="0000FF"/>
          <w:sz w:val="22"/>
          <w:szCs w:val="22"/>
        </w:rPr>
        <w:t xml:space="preserve"> billion at end </w:t>
      </w:r>
      <w:r w:rsidR="000D2165">
        <w:rPr>
          <w:b/>
          <w:color w:val="0000FF"/>
          <w:sz w:val="22"/>
          <w:szCs w:val="22"/>
        </w:rPr>
        <w:t>Q4 2017</w:t>
      </w:r>
      <w:r w:rsidR="00EB020D">
        <w:rPr>
          <w:b/>
          <w:color w:val="0000FF"/>
          <w:sz w:val="22"/>
          <w:szCs w:val="22"/>
        </w:rPr>
        <w:t xml:space="preserve">, </w:t>
      </w:r>
      <w:r w:rsidR="0062560A">
        <w:rPr>
          <w:b/>
          <w:color w:val="0000FF"/>
          <w:sz w:val="22"/>
          <w:szCs w:val="22"/>
        </w:rPr>
        <w:t xml:space="preserve">representing net asset growth </w:t>
      </w:r>
      <w:r w:rsidR="004A01D1">
        <w:rPr>
          <w:b/>
          <w:color w:val="0000FF"/>
          <w:sz w:val="22"/>
          <w:szCs w:val="22"/>
        </w:rPr>
        <w:t xml:space="preserve">of </w:t>
      </w:r>
      <w:r w:rsidR="00EB020D">
        <w:rPr>
          <w:b/>
          <w:color w:val="0000FF"/>
          <w:sz w:val="22"/>
          <w:szCs w:val="22"/>
        </w:rPr>
        <w:t>2.3</w:t>
      </w:r>
      <w:r w:rsidR="0062560A">
        <w:rPr>
          <w:b/>
          <w:color w:val="0000FF"/>
          <w:sz w:val="22"/>
          <w:szCs w:val="22"/>
        </w:rPr>
        <w:t xml:space="preserve">% since </w:t>
      </w:r>
      <w:r w:rsidR="000D2165">
        <w:rPr>
          <w:b/>
          <w:color w:val="0000FF"/>
          <w:sz w:val="22"/>
          <w:szCs w:val="22"/>
        </w:rPr>
        <w:t>Q3 2017</w:t>
      </w:r>
      <w:r w:rsidR="00EB020D">
        <w:rPr>
          <w:b/>
          <w:color w:val="0000FF"/>
          <w:sz w:val="22"/>
          <w:szCs w:val="22"/>
        </w:rPr>
        <w:t xml:space="preserve"> and 10.1</w:t>
      </w:r>
      <w:r w:rsidR="0062560A">
        <w:rPr>
          <w:b/>
          <w:color w:val="0000FF"/>
          <w:sz w:val="22"/>
          <w:szCs w:val="22"/>
        </w:rPr>
        <w:t xml:space="preserve">% since end 2016. </w:t>
      </w:r>
    </w:p>
    <w:bookmarkEnd w:id="2"/>
    <w:bookmarkEnd w:id="3"/>
    <w:p w:rsidR="001142A5" w:rsidRDefault="001142A5" w:rsidP="001142A5">
      <w:pPr>
        <w:pStyle w:val="FootnoteText"/>
        <w:tabs>
          <w:tab w:val="left" w:pos="360"/>
        </w:tabs>
        <w:jc w:val="both"/>
        <w:rPr>
          <w:sz w:val="22"/>
          <w:szCs w:val="22"/>
        </w:rPr>
      </w:pPr>
    </w:p>
    <w:p w:rsidR="001142A5" w:rsidRDefault="00EB020D" w:rsidP="001142A5">
      <w:pPr>
        <w:pStyle w:val="FootnoteText"/>
        <w:tabs>
          <w:tab w:val="left" w:pos="360"/>
        </w:tabs>
        <w:jc w:val="both"/>
        <w:rPr>
          <w:sz w:val="22"/>
          <w:szCs w:val="22"/>
        </w:rPr>
      </w:pPr>
      <w:r>
        <w:rPr>
          <w:sz w:val="22"/>
          <w:szCs w:val="22"/>
        </w:rPr>
        <w:t>With EUR 9,715</w:t>
      </w:r>
      <w:r w:rsidR="001142A5" w:rsidRPr="00654E5B">
        <w:rPr>
          <w:sz w:val="22"/>
          <w:szCs w:val="22"/>
        </w:rPr>
        <w:t xml:space="preserve"> billion invested in UCITS, this segmen</w:t>
      </w:r>
      <w:r>
        <w:rPr>
          <w:sz w:val="22"/>
          <w:szCs w:val="22"/>
        </w:rPr>
        <w:t>t accounted for 62.2</w:t>
      </w:r>
      <w:r w:rsidR="001142A5">
        <w:rPr>
          <w:sz w:val="22"/>
          <w:szCs w:val="22"/>
        </w:rPr>
        <w:t>% of total</w:t>
      </w:r>
      <w:r w:rsidR="001142A5" w:rsidRPr="00654E5B">
        <w:rPr>
          <w:sz w:val="22"/>
          <w:szCs w:val="22"/>
        </w:rPr>
        <w:t xml:space="preserve"> </w:t>
      </w:r>
      <w:r w:rsidR="001142A5">
        <w:rPr>
          <w:sz w:val="22"/>
          <w:szCs w:val="22"/>
        </w:rPr>
        <w:t xml:space="preserve">European investment </w:t>
      </w:r>
      <w:r w:rsidR="001142A5" w:rsidRPr="00654E5B">
        <w:rPr>
          <w:sz w:val="22"/>
          <w:szCs w:val="22"/>
        </w:rPr>
        <w:t>fund</w:t>
      </w:r>
      <w:r w:rsidR="001142A5">
        <w:rPr>
          <w:sz w:val="22"/>
          <w:szCs w:val="22"/>
        </w:rPr>
        <w:t xml:space="preserve"> assets at end </w:t>
      </w:r>
      <w:r w:rsidR="000D2165">
        <w:rPr>
          <w:sz w:val="22"/>
          <w:szCs w:val="22"/>
        </w:rPr>
        <w:t>Q4 2017</w:t>
      </w:r>
      <w:r w:rsidR="001142A5">
        <w:rPr>
          <w:sz w:val="22"/>
          <w:szCs w:val="22"/>
        </w:rPr>
        <w:t>, with the remaini</w:t>
      </w:r>
      <w:r>
        <w:rPr>
          <w:sz w:val="22"/>
          <w:szCs w:val="22"/>
        </w:rPr>
        <w:t>ng 37.8% (equivalent to EUR 5,909</w:t>
      </w:r>
      <w:r w:rsidR="001142A5">
        <w:rPr>
          <w:sz w:val="22"/>
          <w:szCs w:val="22"/>
        </w:rPr>
        <w:t xml:space="preserve"> billion) coming from AIF. </w:t>
      </w:r>
    </w:p>
    <w:p w:rsidR="001142A5" w:rsidRDefault="001142A5" w:rsidP="001142A5">
      <w:pPr>
        <w:pStyle w:val="FootnoteText"/>
        <w:tabs>
          <w:tab w:val="left" w:pos="360"/>
        </w:tabs>
        <w:jc w:val="both"/>
        <w:rPr>
          <w:sz w:val="22"/>
          <w:szCs w:val="22"/>
        </w:rPr>
      </w:pPr>
    </w:p>
    <w:p w:rsidR="001142A5" w:rsidRDefault="00FD13B2" w:rsidP="001142A5">
      <w:pPr>
        <w:pStyle w:val="FootnoteText"/>
        <w:tabs>
          <w:tab w:val="left" w:pos="360"/>
        </w:tabs>
        <w:jc w:val="both"/>
        <w:rPr>
          <w:sz w:val="22"/>
          <w:szCs w:val="22"/>
        </w:rPr>
      </w:pPr>
      <w:r w:rsidRPr="00FD13B2">
        <w:rPr>
          <w:noProof/>
        </w:rPr>
        <w:drawing>
          <wp:anchor distT="0" distB="0" distL="114300" distR="114300" simplePos="0" relativeHeight="251807744" behindDoc="0" locked="0" layoutInCell="1" allowOverlap="1">
            <wp:simplePos x="0" y="0"/>
            <wp:positionH relativeFrom="column">
              <wp:posOffset>273685</wp:posOffset>
            </wp:positionH>
            <wp:positionV relativeFrom="paragraph">
              <wp:posOffset>107287</wp:posOffset>
            </wp:positionV>
            <wp:extent cx="5835600" cy="6656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5600" cy="665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2A5" w:rsidRDefault="001142A5" w:rsidP="001142A5">
      <w:pPr>
        <w:pStyle w:val="FootnoteText"/>
        <w:tabs>
          <w:tab w:val="left" w:pos="360"/>
        </w:tabs>
        <w:jc w:val="center"/>
      </w:pPr>
    </w:p>
    <w:p w:rsidR="001142A5" w:rsidRPr="004C7355" w:rsidRDefault="001142A5" w:rsidP="001142A5">
      <w:pPr>
        <w:pStyle w:val="Footer"/>
        <w:jc w:val="center"/>
        <w:outlineLvl w:val="0"/>
        <w:rPr>
          <w:b/>
          <w:bCs/>
          <w:sz w:val="28"/>
          <w:szCs w:val="28"/>
          <w:lang w:val="en-US"/>
          <w14:shadow w14:blurRad="50800" w14:dist="38100" w14:dir="2700000" w14:sx="100000" w14:sy="100000" w14:kx="0" w14:ky="0" w14:algn="tl">
            <w14:srgbClr w14:val="000000">
              <w14:alpha w14:val="60000"/>
            </w14:srgbClr>
          </w14:shadow>
        </w:rPr>
      </w:pPr>
      <w:r>
        <w:br w:type="page"/>
      </w:r>
      <w:r w:rsidRPr="004C7355">
        <w:rPr>
          <w:b/>
          <w:bCs/>
          <w:sz w:val="28"/>
          <w:szCs w:val="28"/>
          <w:lang w:val="en-US"/>
          <w14:shadow w14:blurRad="50800" w14:dist="38100" w14:dir="2700000" w14:sx="100000" w14:sy="100000" w14:kx="0" w14:ky="0" w14:algn="tl">
            <w14:srgbClr w14:val="000000">
              <w14:alpha w14:val="60000"/>
            </w14:srgbClr>
          </w14:shadow>
        </w:rPr>
        <w:lastRenderedPageBreak/>
        <w:t>Trends in the European Investment Fund Industry</w:t>
      </w:r>
    </w:p>
    <w:p w:rsidR="001142A5" w:rsidRPr="004C7355" w:rsidRDefault="001142A5" w:rsidP="001142A5">
      <w:pPr>
        <w:pStyle w:val="Footer"/>
        <w:jc w:val="center"/>
        <w:rPr>
          <w:b/>
          <w:bCs/>
          <w:i/>
          <w:iCs/>
          <w:sz w:val="28"/>
          <w:szCs w:val="28"/>
          <w:lang w:val="en-US"/>
          <w14:shadow w14:blurRad="50800" w14:dist="38100" w14:dir="2700000" w14:sx="100000" w14:sy="100000" w14:kx="0" w14:ky="0" w14:algn="tl">
            <w14:srgbClr w14:val="000000">
              <w14:alpha w14:val="60000"/>
            </w14:srgbClr>
          </w14:shadow>
        </w:rPr>
      </w:pPr>
      <w:r w:rsidRPr="004C7355">
        <w:rPr>
          <w:b/>
          <w:bCs/>
          <w:i/>
          <w:iCs/>
          <w:sz w:val="28"/>
          <w:szCs w:val="28"/>
          <w:lang w:val="en-US"/>
          <w14:shadow w14:blurRad="50800" w14:dist="38100" w14:dir="2700000" w14:sx="100000" w14:sy="100000" w14:kx="0" w14:ky="0" w14:algn="tl">
            <w14:srgbClr w14:val="000000">
              <w14:alpha w14:val="60000"/>
            </w14:srgbClr>
          </w14:shadow>
        </w:rPr>
        <w:t>Number of Funds by Country of Domiciliation</w:t>
      </w:r>
    </w:p>
    <w:p w:rsidR="001142A5" w:rsidRDefault="001142A5" w:rsidP="001142A5">
      <w:pPr>
        <w:pStyle w:val="FootnoteText"/>
        <w:jc w:val="both"/>
        <w:rPr>
          <w:b/>
          <w:color w:val="0000FF"/>
          <w:sz w:val="22"/>
          <w:szCs w:val="22"/>
        </w:rPr>
      </w:pPr>
    </w:p>
    <w:p w:rsidR="001142A5" w:rsidRPr="00D62403" w:rsidRDefault="00393D32" w:rsidP="001142A5">
      <w:pPr>
        <w:pStyle w:val="FootnoteText"/>
        <w:jc w:val="both"/>
        <w:rPr>
          <w:b/>
          <w:color w:val="0000FF"/>
          <w:sz w:val="22"/>
          <w:szCs w:val="22"/>
        </w:rPr>
      </w:pPr>
      <w:r>
        <w:rPr>
          <w:b/>
          <w:color w:val="0000FF"/>
          <w:sz w:val="22"/>
          <w:szCs w:val="22"/>
        </w:rPr>
        <w:t>The</w:t>
      </w:r>
      <w:r w:rsidR="001142A5" w:rsidRPr="00654E5B">
        <w:rPr>
          <w:b/>
          <w:color w:val="0000FF"/>
          <w:sz w:val="22"/>
          <w:szCs w:val="22"/>
        </w:rPr>
        <w:t xml:space="preserve"> </w:t>
      </w:r>
      <w:r w:rsidR="001142A5">
        <w:rPr>
          <w:b/>
          <w:color w:val="0000FF"/>
          <w:sz w:val="22"/>
          <w:szCs w:val="22"/>
        </w:rPr>
        <w:t>total number of UCITS and AIF f</w:t>
      </w:r>
      <w:r w:rsidR="00387B54">
        <w:rPr>
          <w:b/>
          <w:color w:val="0000FF"/>
          <w:sz w:val="22"/>
          <w:szCs w:val="22"/>
        </w:rPr>
        <w:t xml:space="preserve">unds increased </w:t>
      </w:r>
      <w:r>
        <w:rPr>
          <w:b/>
          <w:color w:val="0000FF"/>
          <w:sz w:val="22"/>
          <w:szCs w:val="22"/>
        </w:rPr>
        <w:t>0.6% by end Q4 2017 to end the year at 60,205.</w:t>
      </w:r>
    </w:p>
    <w:p w:rsidR="001142A5" w:rsidRDefault="001142A5" w:rsidP="001142A5">
      <w:pPr>
        <w:pStyle w:val="Footer"/>
        <w:tabs>
          <w:tab w:val="left" w:pos="720"/>
          <w:tab w:val="left" w:pos="4320"/>
        </w:tabs>
        <w:spacing w:line="260" w:lineRule="exact"/>
        <w:jc w:val="both"/>
        <w:rPr>
          <w:sz w:val="22"/>
          <w:szCs w:val="22"/>
          <w:lang w:val="en-US"/>
        </w:rPr>
      </w:pPr>
    </w:p>
    <w:p w:rsidR="001142A5" w:rsidRDefault="001142A5" w:rsidP="001142A5">
      <w:pPr>
        <w:pStyle w:val="FootnoteText"/>
        <w:tabs>
          <w:tab w:val="left" w:pos="360"/>
        </w:tabs>
        <w:jc w:val="both"/>
        <w:rPr>
          <w:sz w:val="22"/>
          <w:szCs w:val="22"/>
        </w:rPr>
      </w:pPr>
      <w:r>
        <w:rPr>
          <w:sz w:val="22"/>
          <w:szCs w:val="22"/>
        </w:rPr>
        <w:t xml:space="preserve">At the end of the </w:t>
      </w:r>
      <w:r w:rsidR="00FD4A0B">
        <w:rPr>
          <w:sz w:val="22"/>
          <w:szCs w:val="22"/>
        </w:rPr>
        <w:t>fourth</w:t>
      </w:r>
      <w:r>
        <w:rPr>
          <w:sz w:val="22"/>
          <w:szCs w:val="22"/>
        </w:rPr>
        <w:t xml:space="preserve"> quarter of 2017, UCITS accounted for 3</w:t>
      </w:r>
      <w:r w:rsidR="00393D32">
        <w:rPr>
          <w:sz w:val="22"/>
          <w:szCs w:val="22"/>
        </w:rPr>
        <w:t>1,974 funds or 53.1</w:t>
      </w:r>
      <w:r>
        <w:rPr>
          <w:sz w:val="22"/>
          <w:szCs w:val="22"/>
        </w:rPr>
        <w:t xml:space="preserve">% of the </w:t>
      </w:r>
      <w:r w:rsidR="00EE5291">
        <w:rPr>
          <w:sz w:val="22"/>
          <w:szCs w:val="22"/>
        </w:rPr>
        <w:t xml:space="preserve">number of funds in the </w:t>
      </w:r>
      <w:r>
        <w:rPr>
          <w:sz w:val="22"/>
          <w:szCs w:val="22"/>
        </w:rPr>
        <w:t>European mark</w:t>
      </w:r>
      <w:r w:rsidR="00EE5291">
        <w:rPr>
          <w:sz w:val="22"/>
          <w:szCs w:val="22"/>
        </w:rPr>
        <w:t>et.</w:t>
      </w:r>
      <w:r w:rsidR="00387B54">
        <w:rPr>
          <w:sz w:val="22"/>
          <w:szCs w:val="22"/>
        </w:rPr>
        <w:t xml:space="preserve"> AIF </w:t>
      </w:r>
      <w:r w:rsidR="00393D32">
        <w:rPr>
          <w:sz w:val="22"/>
          <w:szCs w:val="22"/>
        </w:rPr>
        <w:t>accounted for 28,231</w:t>
      </w:r>
      <w:r w:rsidR="002E153B">
        <w:rPr>
          <w:sz w:val="22"/>
          <w:szCs w:val="22"/>
        </w:rPr>
        <w:t xml:space="preserve"> </w:t>
      </w:r>
      <w:r w:rsidR="00393D32">
        <w:rPr>
          <w:sz w:val="22"/>
          <w:szCs w:val="22"/>
        </w:rPr>
        <w:t>funds, or 46.9</w:t>
      </w:r>
      <w:r>
        <w:rPr>
          <w:sz w:val="22"/>
          <w:szCs w:val="22"/>
        </w:rPr>
        <w:t xml:space="preserve">% of the </w:t>
      </w:r>
      <w:r w:rsidR="00EE5291">
        <w:rPr>
          <w:sz w:val="22"/>
          <w:szCs w:val="22"/>
        </w:rPr>
        <w:t>amount of funds in the market</w:t>
      </w:r>
      <w:r>
        <w:rPr>
          <w:sz w:val="22"/>
          <w:szCs w:val="22"/>
        </w:rPr>
        <w:t>.</w:t>
      </w:r>
    </w:p>
    <w:p w:rsidR="001142A5" w:rsidRDefault="001142A5" w:rsidP="001142A5">
      <w:pPr>
        <w:pStyle w:val="FootnoteText"/>
        <w:tabs>
          <w:tab w:val="left" w:pos="360"/>
        </w:tabs>
        <w:jc w:val="both"/>
        <w:rPr>
          <w:sz w:val="22"/>
          <w:szCs w:val="22"/>
        </w:rPr>
      </w:pPr>
    </w:p>
    <w:p w:rsidR="001142A5" w:rsidRDefault="00192401" w:rsidP="001142A5">
      <w:pPr>
        <w:pStyle w:val="FootnoteText"/>
        <w:tabs>
          <w:tab w:val="left" w:pos="360"/>
        </w:tabs>
        <w:jc w:val="center"/>
      </w:pPr>
      <w:r w:rsidRPr="00192401">
        <w:rPr>
          <w:noProof/>
        </w:rPr>
        <w:drawing>
          <wp:anchor distT="0" distB="0" distL="114300" distR="114300" simplePos="0" relativeHeight="251799552" behindDoc="0" locked="0" layoutInCell="1" allowOverlap="1">
            <wp:simplePos x="0" y="0"/>
            <wp:positionH relativeFrom="column">
              <wp:posOffset>256540</wp:posOffset>
            </wp:positionH>
            <wp:positionV relativeFrom="paragraph">
              <wp:posOffset>37465</wp:posOffset>
            </wp:positionV>
            <wp:extent cx="5857200" cy="6249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200" cy="62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2A5" w:rsidRDefault="001142A5" w:rsidP="001142A5">
      <w:pPr>
        <w:pStyle w:val="FootnoteText"/>
        <w:tabs>
          <w:tab w:val="left" w:pos="360"/>
        </w:tabs>
        <w:jc w:val="center"/>
      </w:pPr>
    </w:p>
    <w:p w:rsidR="001142A5" w:rsidRDefault="001142A5" w:rsidP="001142A5">
      <w:pPr>
        <w:pStyle w:val="FootnoteText"/>
        <w:tabs>
          <w:tab w:val="left" w:pos="360"/>
        </w:tabs>
        <w:jc w:val="center"/>
      </w:pPr>
    </w:p>
    <w:p w:rsidR="001665DF" w:rsidRDefault="00AF4780" w:rsidP="00AD3D5F">
      <w:pPr>
        <w:pStyle w:val="FootnoteText"/>
        <w:tabs>
          <w:tab w:val="left" w:pos="360"/>
        </w:tabs>
        <w:jc w:val="center"/>
      </w:pPr>
      <w:r>
        <w:t xml:space="preserve"> </w:t>
      </w:r>
    </w:p>
    <w:sectPr w:rsidR="001665DF">
      <w:headerReference w:type="default" r:id="rId50"/>
      <w:footerReference w:type="default" r:id="rId51"/>
      <w:pgSz w:w="11906" w:h="16838" w:code="9"/>
      <w:pgMar w:top="794" w:right="1021" w:bottom="1134" w:left="1021" w:header="709" w:footer="709" w:gutter="0"/>
      <w:pgNumType w:start="1"/>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902" w:rsidRDefault="00214902">
      <w:r>
        <w:separator/>
      </w:r>
    </w:p>
  </w:endnote>
  <w:endnote w:type="continuationSeparator" w:id="0">
    <w:p w:rsidR="00214902" w:rsidRDefault="00214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23C" w:rsidRDefault="003B223C" w:rsidP="00E009CD">
    <w:pPr>
      <w:pStyle w:val="Footer"/>
      <w:tabs>
        <w:tab w:val="left" w:pos="9270"/>
      </w:tabs>
      <w:ind w:right="360"/>
      <w:jc w:val="right"/>
      <w:rPr>
        <w:i/>
        <w:iCs/>
      </w:rPr>
    </w:pPr>
    <w:r>
      <w:rPr>
        <w:i/>
        <w:iCs/>
      </w:rPr>
      <w:t>EFAMA Quarterly</w:t>
    </w:r>
    <w:r w:rsidR="003F103A">
      <w:rPr>
        <w:i/>
        <w:iCs/>
      </w:rPr>
      <w:t xml:space="preserve"> Statis</w:t>
    </w:r>
    <w:r w:rsidR="008F5746">
      <w:rPr>
        <w:i/>
        <w:iCs/>
      </w:rPr>
      <w:t>tical Release N°</w:t>
    </w:r>
    <w:r w:rsidR="006740B2">
      <w:rPr>
        <w:i/>
        <w:iCs/>
      </w:rPr>
      <w:t>72</w:t>
    </w:r>
    <w:r w:rsidR="00DB7D89">
      <w:rPr>
        <w:i/>
        <w:iCs/>
      </w:rPr>
      <w:t xml:space="preserve"> (</w:t>
    </w:r>
    <w:r w:rsidR="003A742D">
      <w:rPr>
        <w:i/>
        <w:iCs/>
      </w:rPr>
      <w:t>Fourt</w:t>
    </w:r>
    <w:r w:rsidR="006740B2">
      <w:rPr>
        <w:i/>
        <w:iCs/>
      </w:rPr>
      <w:t>h</w:t>
    </w:r>
    <w:r w:rsidR="000E5FCE">
      <w:rPr>
        <w:i/>
        <w:iCs/>
      </w:rPr>
      <w:t xml:space="preserve"> quarter of 2017</w:t>
    </w:r>
    <w:r>
      <w:rPr>
        <w:i/>
        <w:iC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902" w:rsidRDefault="00214902">
      <w:r>
        <w:separator/>
      </w:r>
    </w:p>
  </w:footnote>
  <w:footnote w:type="continuationSeparator" w:id="0">
    <w:p w:rsidR="00214902" w:rsidRDefault="00214902">
      <w:r>
        <w:continuationSeparator/>
      </w:r>
    </w:p>
  </w:footnote>
  <w:footnote w:id="1">
    <w:p w:rsidR="001142A5" w:rsidRDefault="001142A5" w:rsidP="001142A5">
      <w:pPr>
        <w:pStyle w:val="FootnoteText"/>
      </w:pPr>
      <w:r>
        <w:rPr>
          <w:rStyle w:val="FootnoteReference"/>
        </w:rPr>
        <w:footnoteRef/>
      </w:r>
      <w:r>
        <w:t xml:space="preserve"> Please note that this data does not include net sales of UCITS ETF domiciled in Luxembourg.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23C" w:rsidRDefault="003B223C">
    <w:pPr>
      <w:pStyle w:val="Header"/>
      <w:framePr w:wrap="auto" w:vAnchor="text" w:hAnchor="margin" w:xAlign="right" w:y="1"/>
      <w:rPr>
        <w:rStyle w:val="PageNumber"/>
        <w:sz w:val="20"/>
        <w:szCs w:val="20"/>
      </w:rPr>
    </w:pPr>
    <w:r>
      <w:rPr>
        <w:rStyle w:val="PageNumber"/>
        <w:sz w:val="20"/>
        <w:szCs w:val="20"/>
      </w:rPr>
      <w:fldChar w:fldCharType="begin"/>
    </w:r>
    <w:r>
      <w:rPr>
        <w:rStyle w:val="PageNumber"/>
        <w:sz w:val="20"/>
        <w:szCs w:val="20"/>
      </w:rPr>
      <w:instrText xml:space="preserve">PAGE  </w:instrText>
    </w:r>
    <w:r>
      <w:rPr>
        <w:rStyle w:val="PageNumber"/>
        <w:sz w:val="20"/>
        <w:szCs w:val="20"/>
      </w:rPr>
      <w:fldChar w:fldCharType="separate"/>
    </w:r>
    <w:r w:rsidR="004E70A5">
      <w:rPr>
        <w:rStyle w:val="PageNumber"/>
        <w:noProof/>
        <w:sz w:val="20"/>
        <w:szCs w:val="20"/>
      </w:rPr>
      <w:t>3</w:t>
    </w:r>
    <w:r>
      <w:rPr>
        <w:rStyle w:val="PageNumber"/>
        <w:sz w:val="20"/>
        <w:szCs w:val="20"/>
      </w:rPr>
      <w:fldChar w:fldCharType="end"/>
    </w:r>
  </w:p>
  <w:p w:rsidR="003B223C" w:rsidRDefault="003B223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91BEB"/>
    <w:multiLevelType w:val="hybridMultilevel"/>
    <w:tmpl w:val="F140B472"/>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15:restartNumberingAfterBreak="0">
    <w:nsid w:val="04E44409"/>
    <w:multiLevelType w:val="hybridMultilevel"/>
    <w:tmpl w:val="8B04985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A5C0CEB"/>
    <w:multiLevelType w:val="hybridMultilevel"/>
    <w:tmpl w:val="E6BA0C3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F317CD0"/>
    <w:multiLevelType w:val="hybridMultilevel"/>
    <w:tmpl w:val="ECB0AA64"/>
    <w:lvl w:ilvl="0" w:tplc="16A40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26C17"/>
    <w:multiLevelType w:val="hybridMultilevel"/>
    <w:tmpl w:val="D528DBB2"/>
    <w:lvl w:ilvl="0" w:tplc="8D7C54F0">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B21DD"/>
    <w:multiLevelType w:val="hybridMultilevel"/>
    <w:tmpl w:val="8CA29C88"/>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15:restartNumberingAfterBreak="0">
    <w:nsid w:val="1C510B58"/>
    <w:multiLevelType w:val="hybridMultilevel"/>
    <w:tmpl w:val="B4FC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22FCD"/>
    <w:multiLevelType w:val="hybridMultilevel"/>
    <w:tmpl w:val="552E4D6C"/>
    <w:lvl w:ilvl="0" w:tplc="8CDC3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A150B"/>
    <w:multiLevelType w:val="hybridMultilevel"/>
    <w:tmpl w:val="E384F95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076C5"/>
    <w:multiLevelType w:val="hybridMultilevel"/>
    <w:tmpl w:val="5F9687AA"/>
    <w:lvl w:ilvl="0" w:tplc="A87048F8">
      <w:start w:val="2009"/>
      <w:numFmt w:val="bullet"/>
      <w:lvlText w:val=""/>
      <w:lvlJc w:val="left"/>
      <w:pPr>
        <w:ind w:left="720" w:hanging="360"/>
      </w:pPr>
      <w:rPr>
        <w:rFonts w:ascii="Wingdings" w:eastAsia="Times New Roman" w:hAnsi="Wingdings"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FB57D3"/>
    <w:multiLevelType w:val="hybridMultilevel"/>
    <w:tmpl w:val="25769C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6F951C9"/>
    <w:multiLevelType w:val="hybridMultilevel"/>
    <w:tmpl w:val="B9F68BB4"/>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CD0944"/>
    <w:multiLevelType w:val="hybridMultilevel"/>
    <w:tmpl w:val="265E2ADC"/>
    <w:lvl w:ilvl="0" w:tplc="69963E10">
      <w:start w:val="1"/>
      <w:numFmt w:val="bullet"/>
      <w:lvlText w:val=""/>
      <w:lvlJc w:val="left"/>
      <w:pPr>
        <w:ind w:left="720" w:hanging="360"/>
      </w:pPr>
      <w:rPr>
        <w:rFonts w:ascii="Symbol" w:hAnsi="Symbol" w:hint="default"/>
        <w:color w:val="0000FF"/>
      </w:rPr>
    </w:lvl>
    <w:lvl w:ilvl="1" w:tplc="0813000B">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1960A07"/>
    <w:multiLevelType w:val="hybridMultilevel"/>
    <w:tmpl w:val="CA6E74A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90065DB"/>
    <w:multiLevelType w:val="hybridMultilevel"/>
    <w:tmpl w:val="8BE4131E"/>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3BDE7362"/>
    <w:multiLevelType w:val="hybridMultilevel"/>
    <w:tmpl w:val="AD0A06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0C75585"/>
    <w:multiLevelType w:val="hybridMultilevel"/>
    <w:tmpl w:val="337A3E8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C723AC"/>
    <w:multiLevelType w:val="hybridMultilevel"/>
    <w:tmpl w:val="57C8FAB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41E24F11"/>
    <w:multiLevelType w:val="hybridMultilevel"/>
    <w:tmpl w:val="11BA6A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436F493C"/>
    <w:multiLevelType w:val="hybridMultilevel"/>
    <w:tmpl w:val="A56E07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3055D"/>
    <w:multiLevelType w:val="hybridMultilevel"/>
    <w:tmpl w:val="31340A3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9A9099C"/>
    <w:multiLevelType w:val="hybridMultilevel"/>
    <w:tmpl w:val="50D8E044"/>
    <w:lvl w:ilvl="0" w:tplc="F8186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2D6BC6"/>
    <w:multiLevelType w:val="hybridMultilevel"/>
    <w:tmpl w:val="A6C6A15E"/>
    <w:lvl w:ilvl="0" w:tplc="AEE4F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D6081"/>
    <w:multiLevelType w:val="hybridMultilevel"/>
    <w:tmpl w:val="F36AD89C"/>
    <w:lvl w:ilvl="0" w:tplc="04090001">
      <w:start w:val="1"/>
      <w:numFmt w:val="bullet"/>
      <w:lvlText w:val=""/>
      <w:lvlJc w:val="left"/>
      <w:pPr>
        <w:ind w:left="720" w:hanging="360"/>
      </w:pPr>
      <w:rPr>
        <w:rFonts w:ascii="Symbol" w:hAnsi="Symbol" w:hint="default"/>
      </w:rPr>
    </w:lvl>
    <w:lvl w:ilvl="1" w:tplc="9522E28E">
      <w:start w:val="1"/>
      <w:numFmt w:val="bullet"/>
      <w:lvlText w:val=""/>
      <w:lvlJc w:val="left"/>
      <w:pPr>
        <w:ind w:left="1440" w:hanging="360"/>
      </w:pPr>
      <w:rPr>
        <w:rFonts w:ascii="Symbol" w:hAnsi="Symbol"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7921A1"/>
    <w:multiLevelType w:val="hybridMultilevel"/>
    <w:tmpl w:val="6F9E8C5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6F36C01"/>
    <w:multiLevelType w:val="hybridMultilevel"/>
    <w:tmpl w:val="63B829A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8161019"/>
    <w:multiLevelType w:val="hybridMultilevel"/>
    <w:tmpl w:val="D604E262"/>
    <w:lvl w:ilvl="0" w:tplc="342AA9D4">
      <w:start w:val="1"/>
      <w:numFmt w:val="bullet"/>
      <w:lvlText w:val=""/>
      <w:lvlJc w:val="left"/>
      <w:pPr>
        <w:tabs>
          <w:tab w:val="num" w:pos="397"/>
        </w:tabs>
        <w:ind w:left="397" w:hanging="397"/>
      </w:pPr>
      <w:rPr>
        <w:rFonts w:ascii="Symbol" w:hAnsi="Symbol" w:hint="default"/>
      </w:rPr>
    </w:lvl>
    <w:lvl w:ilvl="1" w:tplc="CCE044A4">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DF3D86"/>
    <w:multiLevelType w:val="hybridMultilevel"/>
    <w:tmpl w:val="6ACEE474"/>
    <w:lvl w:ilvl="0" w:tplc="C4CC5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F76C94"/>
    <w:multiLevelType w:val="hybridMultilevel"/>
    <w:tmpl w:val="8D207BB6"/>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5B977949"/>
    <w:multiLevelType w:val="hybridMultilevel"/>
    <w:tmpl w:val="EAB4B702"/>
    <w:lvl w:ilvl="0" w:tplc="A87048F8">
      <w:start w:val="2009"/>
      <w:numFmt w:val="bullet"/>
      <w:lvlText w:val=""/>
      <w:lvlJc w:val="left"/>
      <w:pPr>
        <w:ind w:left="720" w:hanging="360"/>
      </w:pPr>
      <w:rPr>
        <w:rFonts w:ascii="Wingdings" w:eastAsia="Times New Roman" w:hAnsi="Wingdings"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BD36E15"/>
    <w:multiLevelType w:val="hybridMultilevel"/>
    <w:tmpl w:val="7FD4788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C5D205A"/>
    <w:multiLevelType w:val="hybridMultilevel"/>
    <w:tmpl w:val="0E0AFF06"/>
    <w:lvl w:ilvl="0" w:tplc="DA823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321B15"/>
    <w:multiLevelType w:val="hybridMultilevel"/>
    <w:tmpl w:val="5BBA5F78"/>
    <w:lvl w:ilvl="0" w:tplc="1E4A7B9A">
      <w:numFmt w:val="bullet"/>
      <w:lvlText w:val=""/>
      <w:lvlJc w:val="left"/>
      <w:pPr>
        <w:ind w:left="1080" w:hanging="360"/>
      </w:pPr>
      <w:rPr>
        <w:rFonts w:ascii="Symbol" w:eastAsia="Times New Roman" w:hAnsi="Symbol"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5EA64B90"/>
    <w:multiLevelType w:val="hybridMultilevel"/>
    <w:tmpl w:val="12C42F0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E5079"/>
    <w:multiLevelType w:val="multilevel"/>
    <w:tmpl w:val="4BD80D0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5" w15:restartNumberingAfterBreak="0">
    <w:nsid w:val="655A0705"/>
    <w:multiLevelType w:val="hybridMultilevel"/>
    <w:tmpl w:val="FFC008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7E33F1B"/>
    <w:multiLevelType w:val="hybridMultilevel"/>
    <w:tmpl w:val="6FD6D1B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55440"/>
    <w:multiLevelType w:val="hybridMultilevel"/>
    <w:tmpl w:val="C11034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DC44C8F"/>
    <w:multiLevelType w:val="hybridMultilevel"/>
    <w:tmpl w:val="B27E41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6ECC5CF4"/>
    <w:multiLevelType w:val="hybridMultilevel"/>
    <w:tmpl w:val="6F208198"/>
    <w:lvl w:ilvl="0" w:tplc="981C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2921FB"/>
    <w:multiLevelType w:val="hybridMultilevel"/>
    <w:tmpl w:val="747E9984"/>
    <w:lvl w:ilvl="0" w:tplc="2E92DC34">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147848"/>
    <w:multiLevelType w:val="hybridMultilevel"/>
    <w:tmpl w:val="956CFC40"/>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BB519F5"/>
    <w:multiLevelType w:val="hybridMultilevel"/>
    <w:tmpl w:val="7908B7DE"/>
    <w:lvl w:ilvl="0" w:tplc="C18A6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3F239A"/>
    <w:multiLevelType w:val="hybridMultilevel"/>
    <w:tmpl w:val="4CD4E80A"/>
    <w:lvl w:ilvl="0" w:tplc="E1D8CEE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30"/>
  </w:num>
  <w:num w:numId="5">
    <w:abstractNumId w:val="25"/>
  </w:num>
  <w:num w:numId="6">
    <w:abstractNumId w:val="10"/>
  </w:num>
  <w:num w:numId="7">
    <w:abstractNumId w:val="29"/>
  </w:num>
  <w:num w:numId="8">
    <w:abstractNumId w:val="9"/>
  </w:num>
  <w:num w:numId="9">
    <w:abstractNumId w:val="26"/>
  </w:num>
  <w:num w:numId="10">
    <w:abstractNumId w:val="37"/>
  </w:num>
  <w:num w:numId="11">
    <w:abstractNumId w:val="38"/>
  </w:num>
  <w:num w:numId="12">
    <w:abstractNumId w:val="34"/>
  </w:num>
  <w:num w:numId="13">
    <w:abstractNumId w:val="13"/>
  </w:num>
  <w:num w:numId="14">
    <w:abstractNumId w:val="15"/>
  </w:num>
  <w:num w:numId="15">
    <w:abstractNumId w:val="1"/>
  </w:num>
  <w:num w:numId="16">
    <w:abstractNumId w:val="2"/>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2"/>
  </w:num>
  <w:num w:numId="20">
    <w:abstractNumId w:val="3"/>
  </w:num>
  <w:num w:numId="21">
    <w:abstractNumId w:val="40"/>
  </w:num>
  <w:num w:numId="22">
    <w:abstractNumId w:val="7"/>
  </w:num>
  <w:num w:numId="23">
    <w:abstractNumId w:val="31"/>
  </w:num>
  <w:num w:numId="24">
    <w:abstractNumId w:val="39"/>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27"/>
  </w:num>
  <w:num w:numId="29">
    <w:abstractNumId w:val="23"/>
  </w:num>
  <w:num w:numId="30">
    <w:abstractNumId w:val="17"/>
  </w:num>
  <w:num w:numId="31">
    <w:abstractNumId w:val="18"/>
  </w:num>
  <w:num w:numId="32">
    <w:abstractNumId w:val="41"/>
  </w:num>
  <w:num w:numId="33">
    <w:abstractNumId w:val="32"/>
  </w:num>
  <w:num w:numId="34">
    <w:abstractNumId w:val="43"/>
  </w:num>
  <w:num w:numId="35">
    <w:abstractNumId w:val="6"/>
  </w:num>
  <w:num w:numId="36">
    <w:abstractNumId w:val="19"/>
  </w:num>
  <w:num w:numId="37">
    <w:abstractNumId w:val="8"/>
  </w:num>
  <w:num w:numId="38">
    <w:abstractNumId w:val="36"/>
  </w:num>
  <w:num w:numId="39">
    <w:abstractNumId w:val="33"/>
  </w:num>
  <w:num w:numId="4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8"/>
  </w:num>
  <w:num w:numId="43">
    <w:abstractNumId w:val="0"/>
  </w:num>
  <w:num w:numId="44">
    <w:abstractNumId w:val="35"/>
  </w:num>
  <w:num w:numId="4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4"/>
  <w:drawingGridVerticalSpacing w:val="14"/>
  <w:displayHorizontalDrawingGridEvery w:val="0"/>
  <w:displayVerticalDrawingGridEvery w:val="3"/>
  <w:doNotUseMarginsForDrawingGridOrigin/>
  <w:drawingGridHorizontalOrigin w:val="1699"/>
  <w:drawingGridVerticalOrigin w:val="1987"/>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93"/>
    <w:rsid w:val="00000909"/>
    <w:rsid w:val="00000E96"/>
    <w:rsid w:val="000021E2"/>
    <w:rsid w:val="00002C7A"/>
    <w:rsid w:val="000033A4"/>
    <w:rsid w:val="0000557D"/>
    <w:rsid w:val="0000603C"/>
    <w:rsid w:val="000072E8"/>
    <w:rsid w:val="00007955"/>
    <w:rsid w:val="00011437"/>
    <w:rsid w:val="00013347"/>
    <w:rsid w:val="00013601"/>
    <w:rsid w:val="000143F1"/>
    <w:rsid w:val="00015029"/>
    <w:rsid w:val="000156F4"/>
    <w:rsid w:val="00015A9A"/>
    <w:rsid w:val="00016869"/>
    <w:rsid w:val="0001687B"/>
    <w:rsid w:val="0001732B"/>
    <w:rsid w:val="000173A6"/>
    <w:rsid w:val="00017503"/>
    <w:rsid w:val="00017F66"/>
    <w:rsid w:val="00020BB4"/>
    <w:rsid w:val="000240E8"/>
    <w:rsid w:val="000241F0"/>
    <w:rsid w:val="00024985"/>
    <w:rsid w:val="000251D7"/>
    <w:rsid w:val="0002568C"/>
    <w:rsid w:val="00025B5D"/>
    <w:rsid w:val="0002641C"/>
    <w:rsid w:val="00026F20"/>
    <w:rsid w:val="000271CE"/>
    <w:rsid w:val="000277C2"/>
    <w:rsid w:val="00027DAD"/>
    <w:rsid w:val="00031C6F"/>
    <w:rsid w:val="00033301"/>
    <w:rsid w:val="00033C5A"/>
    <w:rsid w:val="00033F37"/>
    <w:rsid w:val="000345E8"/>
    <w:rsid w:val="000347A3"/>
    <w:rsid w:val="00034F2C"/>
    <w:rsid w:val="00035267"/>
    <w:rsid w:val="00036843"/>
    <w:rsid w:val="00037A72"/>
    <w:rsid w:val="00037E90"/>
    <w:rsid w:val="00037F73"/>
    <w:rsid w:val="00040297"/>
    <w:rsid w:val="000404E1"/>
    <w:rsid w:val="000409C1"/>
    <w:rsid w:val="00040D1C"/>
    <w:rsid w:val="00040E7E"/>
    <w:rsid w:val="0004187C"/>
    <w:rsid w:val="000423E1"/>
    <w:rsid w:val="000438E1"/>
    <w:rsid w:val="00044211"/>
    <w:rsid w:val="00044B87"/>
    <w:rsid w:val="00045D50"/>
    <w:rsid w:val="00045ED9"/>
    <w:rsid w:val="000463D0"/>
    <w:rsid w:val="00047145"/>
    <w:rsid w:val="00047D53"/>
    <w:rsid w:val="00047F76"/>
    <w:rsid w:val="000526F0"/>
    <w:rsid w:val="00053322"/>
    <w:rsid w:val="00053AD6"/>
    <w:rsid w:val="00054657"/>
    <w:rsid w:val="00054D60"/>
    <w:rsid w:val="00055E3C"/>
    <w:rsid w:val="00056626"/>
    <w:rsid w:val="00056A30"/>
    <w:rsid w:val="000573B0"/>
    <w:rsid w:val="00061A1C"/>
    <w:rsid w:val="00061C27"/>
    <w:rsid w:val="0006310F"/>
    <w:rsid w:val="00063CCB"/>
    <w:rsid w:val="00064214"/>
    <w:rsid w:val="000653F2"/>
    <w:rsid w:val="00066F76"/>
    <w:rsid w:val="00067DE3"/>
    <w:rsid w:val="00070171"/>
    <w:rsid w:val="00070B33"/>
    <w:rsid w:val="000714A9"/>
    <w:rsid w:val="00071E2E"/>
    <w:rsid w:val="00072669"/>
    <w:rsid w:val="00073987"/>
    <w:rsid w:val="000744BE"/>
    <w:rsid w:val="000775A7"/>
    <w:rsid w:val="000779E5"/>
    <w:rsid w:val="00080D20"/>
    <w:rsid w:val="00081071"/>
    <w:rsid w:val="000817B9"/>
    <w:rsid w:val="00081B3F"/>
    <w:rsid w:val="0008254F"/>
    <w:rsid w:val="00082BB1"/>
    <w:rsid w:val="00083A2E"/>
    <w:rsid w:val="000843DD"/>
    <w:rsid w:val="000851B3"/>
    <w:rsid w:val="00085208"/>
    <w:rsid w:val="000864D3"/>
    <w:rsid w:val="00086B6E"/>
    <w:rsid w:val="00087ABD"/>
    <w:rsid w:val="00087D87"/>
    <w:rsid w:val="000902A4"/>
    <w:rsid w:val="00091523"/>
    <w:rsid w:val="00091E3D"/>
    <w:rsid w:val="0009516D"/>
    <w:rsid w:val="00095564"/>
    <w:rsid w:val="00097037"/>
    <w:rsid w:val="00097964"/>
    <w:rsid w:val="000A0790"/>
    <w:rsid w:val="000A0BC0"/>
    <w:rsid w:val="000A2D59"/>
    <w:rsid w:val="000A3084"/>
    <w:rsid w:val="000A3923"/>
    <w:rsid w:val="000A3B29"/>
    <w:rsid w:val="000A50A1"/>
    <w:rsid w:val="000A77C2"/>
    <w:rsid w:val="000B03BD"/>
    <w:rsid w:val="000B0564"/>
    <w:rsid w:val="000B0B3D"/>
    <w:rsid w:val="000B2912"/>
    <w:rsid w:val="000B378A"/>
    <w:rsid w:val="000B3DB4"/>
    <w:rsid w:val="000B466E"/>
    <w:rsid w:val="000B4EDD"/>
    <w:rsid w:val="000B5B37"/>
    <w:rsid w:val="000B5BBC"/>
    <w:rsid w:val="000B5BF1"/>
    <w:rsid w:val="000B6767"/>
    <w:rsid w:val="000B7C55"/>
    <w:rsid w:val="000C2946"/>
    <w:rsid w:val="000C2E9E"/>
    <w:rsid w:val="000C345C"/>
    <w:rsid w:val="000C394B"/>
    <w:rsid w:val="000C3AB6"/>
    <w:rsid w:val="000C5134"/>
    <w:rsid w:val="000C522E"/>
    <w:rsid w:val="000C5320"/>
    <w:rsid w:val="000C561E"/>
    <w:rsid w:val="000C6D7A"/>
    <w:rsid w:val="000D143A"/>
    <w:rsid w:val="000D1521"/>
    <w:rsid w:val="000D1C75"/>
    <w:rsid w:val="000D2165"/>
    <w:rsid w:val="000D2C47"/>
    <w:rsid w:val="000D2E16"/>
    <w:rsid w:val="000D2F8E"/>
    <w:rsid w:val="000D3D28"/>
    <w:rsid w:val="000D46CD"/>
    <w:rsid w:val="000D4CD9"/>
    <w:rsid w:val="000D50FA"/>
    <w:rsid w:val="000D639B"/>
    <w:rsid w:val="000D7292"/>
    <w:rsid w:val="000E08F1"/>
    <w:rsid w:val="000E3420"/>
    <w:rsid w:val="000E3C2A"/>
    <w:rsid w:val="000E4B97"/>
    <w:rsid w:val="000E5FCE"/>
    <w:rsid w:val="000E6434"/>
    <w:rsid w:val="000E6CAA"/>
    <w:rsid w:val="000E774C"/>
    <w:rsid w:val="000E7B92"/>
    <w:rsid w:val="000E7DB4"/>
    <w:rsid w:val="000F0315"/>
    <w:rsid w:val="000F0527"/>
    <w:rsid w:val="000F0993"/>
    <w:rsid w:val="000F1A5C"/>
    <w:rsid w:val="000F35B3"/>
    <w:rsid w:val="000F35E3"/>
    <w:rsid w:val="000F3B92"/>
    <w:rsid w:val="000F40D8"/>
    <w:rsid w:val="000F4E8E"/>
    <w:rsid w:val="000F4E95"/>
    <w:rsid w:val="000F5251"/>
    <w:rsid w:val="000F54F4"/>
    <w:rsid w:val="000F5E1F"/>
    <w:rsid w:val="000F708B"/>
    <w:rsid w:val="000F7184"/>
    <w:rsid w:val="000F724B"/>
    <w:rsid w:val="00100B9A"/>
    <w:rsid w:val="001016DB"/>
    <w:rsid w:val="00101721"/>
    <w:rsid w:val="001046B5"/>
    <w:rsid w:val="00104F7D"/>
    <w:rsid w:val="00105999"/>
    <w:rsid w:val="00105FAB"/>
    <w:rsid w:val="00106448"/>
    <w:rsid w:val="0010683D"/>
    <w:rsid w:val="001076C3"/>
    <w:rsid w:val="00110791"/>
    <w:rsid w:val="001136CB"/>
    <w:rsid w:val="001142A5"/>
    <w:rsid w:val="00114B2D"/>
    <w:rsid w:val="001161C9"/>
    <w:rsid w:val="00117719"/>
    <w:rsid w:val="0011779D"/>
    <w:rsid w:val="00117AD6"/>
    <w:rsid w:val="0012009C"/>
    <w:rsid w:val="001209A0"/>
    <w:rsid w:val="001213C2"/>
    <w:rsid w:val="00121780"/>
    <w:rsid w:val="00121F35"/>
    <w:rsid w:val="001222DB"/>
    <w:rsid w:val="00122B81"/>
    <w:rsid w:val="00122D19"/>
    <w:rsid w:val="0012416B"/>
    <w:rsid w:val="001253E0"/>
    <w:rsid w:val="00125477"/>
    <w:rsid w:val="00125F61"/>
    <w:rsid w:val="00126074"/>
    <w:rsid w:val="001266C3"/>
    <w:rsid w:val="00127649"/>
    <w:rsid w:val="0012774B"/>
    <w:rsid w:val="001300AD"/>
    <w:rsid w:val="00130439"/>
    <w:rsid w:val="00130C4A"/>
    <w:rsid w:val="00130E9F"/>
    <w:rsid w:val="0013191A"/>
    <w:rsid w:val="00131AFA"/>
    <w:rsid w:val="00132EDE"/>
    <w:rsid w:val="00135F0F"/>
    <w:rsid w:val="001402F6"/>
    <w:rsid w:val="001408F3"/>
    <w:rsid w:val="001412B9"/>
    <w:rsid w:val="001419CC"/>
    <w:rsid w:val="00142022"/>
    <w:rsid w:val="001422B2"/>
    <w:rsid w:val="001423AB"/>
    <w:rsid w:val="00142E95"/>
    <w:rsid w:val="001431E2"/>
    <w:rsid w:val="001434FB"/>
    <w:rsid w:val="001439C2"/>
    <w:rsid w:val="001441C6"/>
    <w:rsid w:val="001448D2"/>
    <w:rsid w:val="001455FA"/>
    <w:rsid w:val="00145773"/>
    <w:rsid w:val="00145C9F"/>
    <w:rsid w:val="00145FCF"/>
    <w:rsid w:val="00146147"/>
    <w:rsid w:val="001462CD"/>
    <w:rsid w:val="0015022B"/>
    <w:rsid w:val="0015029A"/>
    <w:rsid w:val="0015053F"/>
    <w:rsid w:val="001523DA"/>
    <w:rsid w:val="00152932"/>
    <w:rsid w:val="00152993"/>
    <w:rsid w:val="00153588"/>
    <w:rsid w:val="0015494B"/>
    <w:rsid w:val="0015542F"/>
    <w:rsid w:val="00155502"/>
    <w:rsid w:val="00156178"/>
    <w:rsid w:val="00157CEC"/>
    <w:rsid w:val="00160B5C"/>
    <w:rsid w:val="001613E1"/>
    <w:rsid w:val="00161CCC"/>
    <w:rsid w:val="00162BDB"/>
    <w:rsid w:val="00162E35"/>
    <w:rsid w:val="00164941"/>
    <w:rsid w:val="00166286"/>
    <w:rsid w:val="001665DF"/>
    <w:rsid w:val="00167B71"/>
    <w:rsid w:val="00170350"/>
    <w:rsid w:val="0017146B"/>
    <w:rsid w:val="00171BB7"/>
    <w:rsid w:val="00171DDB"/>
    <w:rsid w:val="00172819"/>
    <w:rsid w:val="0017435B"/>
    <w:rsid w:val="00175147"/>
    <w:rsid w:val="001760C4"/>
    <w:rsid w:val="0017685E"/>
    <w:rsid w:val="00176C6A"/>
    <w:rsid w:val="00177462"/>
    <w:rsid w:val="0018226D"/>
    <w:rsid w:val="00182AF2"/>
    <w:rsid w:val="0018397E"/>
    <w:rsid w:val="0018445D"/>
    <w:rsid w:val="00184F0C"/>
    <w:rsid w:val="00186213"/>
    <w:rsid w:val="0018697B"/>
    <w:rsid w:val="001872F0"/>
    <w:rsid w:val="00190C2E"/>
    <w:rsid w:val="00190F0B"/>
    <w:rsid w:val="0019142C"/>
    <w:rsid w:val="00191CF2"/>
    <w:rsid w:val="00192401"/>
    <w:rsid w:val="00192EE9"/>
    <w:rsid w:val="001939D8"/>
    <w:rsid w:val="0019438F"/>
    <w:rsid w:val="00194BDF"/>
    <w:rsid w:val="001950B8"/>
    <w:rsid w:val="001955BD"/>
    <w:rsid w:val="001A0AF1"/>
    <w:rsid w:val="001A17F7"/>
    <w:rsid w:val="001A1F1F"/>
    <w:rsid w:val="001A24AF"/>
    <w:rsid w:val="001A2C72"/>
    <w:rsid w:val="001A38ED"/>
    <w:rsid w:val="001A415A"/>
    <w:rsid w:val="001A429E"/>
    <w:rsid w:val="001A4AE0"/>
    <w:rsid w:val="001A5368"/>
    <w:rsid w:val="001A5707"/>
    <w:rsid w:val="001A6388"/>
    <w:rsid w:val="001A78C8"/>
    <w:rsid w:val="001A796E"/>
    <w:rsid w:val="001A7D95"/>
    <w:rsid w:val="001B09E3"/>
    <w:rsid w:val="001B1BF2"/>
    <w:rsid w:val="001B2438"/>
    <w:rsid w:val="001B2AD9"/>
    <w:rsid w:val="001B42C4"/>
    <w:rsid w:val="001B4D3C"/>
    <w:rsid w:val="001B6FA7"/>
    <w:rsid w:val="001B7E06"/>
    <w:rsid w:val="001C056C"/>
    <w:rsid w:val="001C0A14"/>
    <w:rsid w:val="001C105D"/>
    <w:rsid w:val="001C1D5E"/>
    <w:rsid w:val="001C2BB5"/>
    <w:rsid w:val="001C4174"/>
    <w:rsid w:val="001C41D6"/>
    <w:rsid w:val="001C5AA4"/>
    <w:rsid w:val="001C62BA"/>
    <w:rsid w:val="001C6C0A"/>
    <w:rsid w:val="001C6F81"/>
    <w:rsid w:val="001D0F2D"/>
    <w:rsid w:val="001D1357"/>
    <w:rsid w:val="001D1704"/>
    <w:rsid w:val="001D1987"/>
    <w:rsid w:val="001D1DEA"/>
    <w:rsid w:val="001D3469"/>
    <w:rsid w:val="001D4458"/>
    <w:rsid w:val="001D5187"/>
    <w:rsid w:val="001D5279"/>
    <w:rsid w:val="001D5C88"/>
    <w:rsid w:val="001D64CB"/>
    <w:rsid w:val="001D6932"/>
    <w:rsid w:val="001D6F41"/>
    <w:rsid w:val="001D6F93"/>
    <w:rsid w:val="001D7468"/>
    <w:rsid w:val="001E0E39"/>
    <w:rsid w:val="001E17FE"/>
    <w:rsid w:val="001E1B11"/>
    <w:rsid w:val="001E1B12"/>
    <w:rsid w:val="001E30C4"/>
    <w:rsid w:val="001E381E"/>
    <w:rsid w:val="001E3E79"/>
    <w:rsid w:val="001E3FE4"/>
    <w:rsid w:val="001E5650"/>
    <w:rsid w:val="001E5FE9"/>
    <w:rsid w:val="001F0096"/>
    <w:rsid w:val="001F1235"/>
    <w:rsid w:val="001F1A21"/>
    <w:rsid w:val="001F2456"/>
    <w:rsid w:val="001F247A"/>
    <w:rsid w:val="001F2D54"/>
    <w:rsid w:val="001F30F5"/>
    <w:rsid w:val="001F64B6"/>
    <w:rsid w:val="001F6781"/>
    <w:rsid w:val="001F6E56"/>
    <w:rsid w:val="001F776C"/>
    <w:rsid w:val="002004A7"/>
    <w:rsid w:val="00201275"/>
    <w:rsid w:val="0020141C"/>
    <w:rsid w:val="002039B1"/>
    <w:rsid w:val="00203CCC"/>
    <w:rsid w:val="00206E8D"/>
    <w:rsid w:val="00207327"/>
    <w:rsid w:val="00207A7A"/>
    <w:rsid w:val="0021304C"/>
    <w:rsid w:val="00213509"/>
    <w:rsid w:val="00213FB7"/>
    <w:rsid w:val="00214902"/>
    <w:rsid w:val="0021584E"/>
    <w:rsid w:val="00215E65"/>
    <w:rsid w:val="0021614B"/>
    <w:rsid w:val="002171EE"/>
    <w:rsid w:val="002179AA"/>
    <w:rsid w:val="00217A0A"/>
    <w:rsid w:val="00221202"/>
    <w:rsid w:val="00221E57"/>
    <w:rsid w:val="00222F89"/>
    <w:rsid w:val="0022354A"/>
    <w:rsid w:val="00223783"/>
    <w:rsid w:val="0022448F"/>
    <w:rsid w:val="00224AA3"/>
    <w:rsid w:val="00225DC9"/>
    <w:rsid w:val="002265B4"/>
    <w:rsid w:val="00227060"/>
    <w:rsid w:val="00227825"/>
    <w:rsid w:val="00227C9D"/>
    <w:rsid w:val="00230194"/>
    <w:rsid w:val="002325D5"/>
    <w:rsid w:val="00232977"/>
    <w:rsid w:val="00233031"/>
    <w:rsid w:val="002349AE"/>
    <w:rsid w:val="00234A45"/>
    <w:rsid w:val="002354D9"/>
    <w:rsid w:val="00235A51"/>
    <w:rsid w:val="00235BFD"/>
    <w:rsid w:val="00236247"/>
    <w:rsid w:val="00242337"/>
    <w:rsid w:val="002429CC"/>
    <w:rsid w:val="002429E3"/>
    <w:rsid w:val="00242A62"/>
    <w:rsid w:val="00243327"/>
    <w:rsid w:val="00243A27"/>
    <w:rsid w:val="00243C88"/>
    <w:rsid w:val="0024427B"/>
    <w:rsid w:val="00246616"/>
    <w:rsid w:val="0024688C"/>
    <w:rsid w:val="00247CF8"/>
    <w:rsid w:val="00250596"/>
    <w:rsid w:val="00250678"/>
    <w:rsid w:val="002517AF"/>
    <w:rsid w:val="002535E4"/>
    <w:rsid w:val="002539E5"/>
    <w:rsid w:val="002548EA"/>
    <w:rsid w:val="0025518C"/>
    <w:rsid w:val="002556EB"/>
    <w:rsid w:val="00256D10"/>
    <w:rsid w:val="002575F4"/>
    <w:rsid w:val="00260737"/>
    <w:rsid w:val="00261CDE"/>
    <w:rsid w:val="0026277B"/>
    <w:rsid w:val="00262840"/>
    <w:rsid w:val="0026297C"/>
    <w:rsid w:val="002636D8"/>
    <w:rsid w:val="0026465F"/>
    <w:rsid w:val="00264C0F"/>
    <w:rsid w:val="00265448"/>
    <w:rsid w:val="00266299"/>
    <w:rsid w:val="00267315"/>
    <w:rsid w:val="0026782C"/>
    <w:rsid w:val="00267C95"/>
    <w:rsid w:val="0027129D"/>
    <w:rsid w:val="00271613"/>
    <w:rsid w:val="002722AF"/>
    <w:rsid w:val="002725E4"/>
    <w:rsid w:val="002730C0"/>
    <w:rsid w:val="00274031"/>
    <w:rsid w:val="0027558D"/>
    <w:rsid w:val="002770D3"/>
    <w:rsid w:val="00277204"/>
    <w:rsid w:val="0028266E"/>
    <w:rsid w:val="00283F1E"/>
    <w:rsid w:val="0028590F"/>
    <w:rsid w:val="00286411"/>
    <w:rsid w:val="00286DC4"/>
    <w:rsid w:val="00287526"/>
    <w:rsid w:val="002875E1"/>
    <w:rsid w:val="00287AF5"/>
    <w:rsid w:val="0029111E"/>
    <w:rsid w:val="00292DC3"/>
    <w:rsid w:val="00294156"/>
    <w:rsid w:val="0029445C"/>
    <w:rsid w:val="00294D10"/>
    <w:rsid w:val="00295B41"/>
    <w:rsid w:val="00296058"/>
    <w:rsid w:val="00297212"/>
    <w:rsid w:val="00297544"/>
    <w:rsid w:val="002A0F6B"/>
    <w:rsid w:val="002A1355"/>
    <w:rsid w:val="002A152F"/>
    <w:rsid w:val="002A1C33"/>
    <w:rsid w:val="002A28E9"/>
    <w:rsid w:val="002A4E57"/>
    <w:rsid w:val="002A5CF9"/>
    <w:rsid w:val="002B0474"/>
    <w:rsid w:val="002B2664"/>
    <w:rsid w:val="002B2AAE"/>
    <w:rsid w:val="002B4012"/>
    <w:rsid w:val="002B463B"/>
    <w:rsid w:val="002B5177"/>
    <w:rsid w:val="002B5C1C"/>
    <w:rsid w:val="002B5E0E"/>
    <w:rsid w:val="002C08C1"/>
    <w:rsid w:val="002C2FBB"/>
    <w:rsid w:val="002C3A30"/>
    <w:rsid w:val="002C410A"/>
    <w:rsid w:val="002C5075"/>
    <w:rsid w:val="002C56BE"/>
    <w:rsid w:val="002C61A6"/>
    <w:rsid w:val="002C61C1"/>
    <w:rsid w:val="002C628C"/>
    <w:rsid w:val="002C6972"/>
    <w:rsid w:val="002C7368"/>
    <w:rsid w:val="002C73F9"/>
    <w:rsid w:val="002C7662"/>
    <w:rsid w:val="002C79F5"/>
    <w:rsid w:val="002D03F1"/>
    <w:rsid w:val="002D184B"/>
    <w:rsid w:val="002D1CDE"/>
    <w:rsid w:val="002D3B7C"/>
    <w:rsid w:val="002D513D"/>
    <w:rsid w:val="002D5B99"/>
    <w:rsid w:val="002D64C0"/>
    <w:rsid w:val="002D6934"/>
    <w:rsid w:val="002E07BD"/>
    <w:rsid w:val="002E0E82"/>
    <w:rsid w:val="002E153B"/>
    <w:rsid w:val="002E1ABB"/>
    <w:rsid w:val="002E1D0E"/>
    <w:rsid w:val="002E2AE5"/>
    <w:rsid w:val="002E58FE"/>
    <w:rsid w:val="002F3D2B"/>
    <w:rsid w:val="002F52F7"/>
    <w:rsid w:val="002F5A4F"/>
    <w:rsid w:val="002F607B"/>
    <w:rsid w:val="002F6217"/>
    <w:rsid w:val="002F64F1"/>
    <w:rsid w:val="002F719E"/>
    <w:rsid w:val="003003DC"/>
    <w:rsid w:val="0030081D"/>
    <w:rsid w:val="003029B6"/>
    <w:rsid w:val="00305797"/>
    <w:rsid w:val="0030583B"/>
    <w:rsid w:val="00305A8E"/>
    <w:rsid w:val="003062AF"/>
    <w:rsid w:val="0030665B"/>
    <w:rsid w:val="0030697D"/>
    <w:rsid w:val="0030698D"/>
    <w:rsid w:val="0030702D"/>
    <w:rsid w:val="0030757B"/>
    <w:rsid w:val="0031033B"/>
    <w:rsid w:val="0031048C"/>
    <w:rsid w:val="0031055B"/>
    <w:rsid w:val="00310BED"/>
    <w:rsid w:val="0031130E"/>
    <w:rsid w:val="003114AD"/>
    <w:rsid w:val="003116D0"/>
    <w:rsid w:val="003117F0"/>
    <w:rsid w:val="003117F8"/>
    <w:rsid w:val="00311F0F"/>
    <w:rsid w:val="003122FF"/>
    <w:rsid w:val="0031291A"/>
    <w:rsid w:val="00313F4F"/>
    <w:rsid w:val="00314327"/>
    <w:rsid w:val="00314CCB"/>
    <w:rsid w:val="00315450"/>
    <w:rsid w:val="00315DFC"/>
    <w:rsid w:val="003176BF"/>
    <w:rsid w:val="00317C68"/>
    <w:rsid w:val="00317D15"/>
    <w:rsid w:val="0032133C"/>
    <w:rsid w:val="00321677"/>
    <w:rsid w:val="003219C2"/>
    <w:rsid w:val="00321FA6"/>
    <w:rsid w:val="0032233D"/>
    <w:rsid w:val="00322D02"/>
    <w:rsid w:val="00322F36"/>
    <w:rsid w:val="0032302B"/>
    <w:rsid w:val="00323042"/>
    <w:rsid w:val="00325008"/>
    <w:rsid w:val="003257CC"/>
    <w:rsid w:val="00326400"/>
    <w:rsid w:val="0032642C"/>
    <w:rsid w:val="0033001B"/>
    <w:rsid w:val="003305E6"/>
    <w:rsid w:val="0033138B"/>
    <w:rsid w:val="003326DF"/>
    <w:rsid w:val="0033365A"/>
    <w:rsid w:val="00333891"/>
    <w:rsid w:val="00334837"/>
    <w:rsid w:val="00335314"/>
    <w:rsid w:val="00335663"/>
    <w:rsid w:val="003357FA"/>
    <w:rsid w:val="003360DF"/>
    <w:rsid w:val="00336F3E"/>
    <w:rsid w:val="00340C4D"/>
    <w:rsid w:val="00340C78"/>
    <w:rsid w:val="0034142A"/>
    <w:rsid w:val="00342991"/>
    <w:rsid w:val="003430E5"/>
    <w:rsid w:val="0034322D"/>
    <w:rsid w:val="003434D1"/>
    <w:rsid w:val="00345C16"/>
    <w:rsid w:val="00346294"/>
    <w:rsid w:val="00347015"/>
    <w:rsid w:val="003472B6"/>
    <w:rsid w:val="0035065B"/>
    <w:rsid w:val="00351BCD"/>
    <w:rsid w:val="00352A29"/>
    <w:rsid w:val="00352A2F"/>
    <w:rsid w:val="00352E9D"/>
    <w:rsid w:val="00353589"/>
    <w:rsid w:val="00354F01"/>
    <w:rsid w:val="003553D7"/>
    <w:rsid w:val="003562CE"/>
    <w:rsid w:val="00356887"/>
    <w:rsid w:val="00357414"/>
    <w:rsid w:val="003600A2"/>
    <w:rsid w:val="00362DBD"/>
    <w:rsid w:val="00363FB9"/>
    <w:rsid w:val="0036475D"/>
    <w:rsid w:val="00365540"/>
    <w:rsid w:val="003664AC"/>
    <w:rsid w:val="00366C64"/>
    <w:rsid w:val="00366DB9"/>
    <w:rsid w:val="00367B13"/>
    <w:rsid w:val="0037100A"/>
    <w:rsid w:val="00372324"/>
    <w:rsid w:val="00372635"/>
    <w:rsid w:val="00374C47"/>
    <w:rsid w:val="00374FDC"/>
    <w:rsid w:val="003764CE"/>
    <w:rsid w:val="0037676A"/>
    <w:rsid w:val="003769E8"/>
    <w:rsid w:val="0037795D"/>
    <w:rsid w:val="00377DEA"/>
    <w:rsid w:val="00380248"/>
    <w:rsid w:val="003807F3"/>
    <w:rsid w:val="00381381"/>
    <w:rsid w:val="0038390E"/>
    <w:rsid w:val="00384667"/>
    <w:rsid w:val="00384C2E"/>
    <w:rsid w:val="00385425"/>
    <w:rsid w:val="0038543C"/>
    <w:rsid w:val="00385743"/>
    <w:rsid w:val="00386104"/>
    <w:rsid w:val="00386BB7"/>
    <w:rsid w:val="00387B54"/>
    <w:rsid w:val="00387F2D"/>
    <w:rsid w:val="00390F18"/>
    <w:rsid w:val="00391A9E"/>
    <w:rsid w:val="00392F10"/>
    <w:rsid w:val="00392FF2"/>
    <w:rsid w:val="003939BD"/>
    <w:rsid w:val="00393D32"/>
    <w:rsid w:val="00394D72"/>
    <w:rsid w:val="00394F1C"/>
    <w:rsid w:val="003953DA"/>
    <w:rsid w:val="003968FB"/>
    <w:rsid w:val="00397F26"/>
    <w:rsid w:val="00397F8C"/>
    <w:rsid w:val="003A04B3"/>
    <w:rsid w:val="003A061D"/>
    <w:rsid w:val="003A06A0"/>
    <w:rsid w:val="003A190E"/>
    <w:rsid w:val="003A19A7"/>
    <w:rsid w:val="003A1FBD"/>
    <w:rsid w:val="003A2440"/>
    <w:rsid w:val="003A348A"/>
    <w:rsid w:val="003A3BD9"/>
    <w:rsid w:val="003A3F58"/>
    <w:rsid w:val="003A453F"/>
    <w:rsid w:val="003A4BFA"/>
    <w:rsid w:val="003A4EC0"/>
    <w:rsid w:val="003A4F0E"/>
    <w:rsid w:val="003A5573"/>
    <w:rsid w:val="003A5DA8"/>
    <w:rsid w:val="003A5EDE"/>
    <w:rsid w:val="003A742D"/>
    <w:rsid w:val="003A7EEA"/>
    <w:rsid w:val="003B04E5"/>
    <w:rsid w:val="003B0C08"/>
    <w:rsid w:val="003B10E1"/>
    <w:rsid w:val="003B1A37"/>
    <w:rsid w:val="003B223C"/>
    <w:rsid w:val="003B2336"/>
    <w:rsid w:val="003B3142"/>
    <w:rsid w:val="003B3931"/>
    <w:rsid w:val="003B5A20"/>
    <w:rsid w:val="003B799A"/>
    <w:rsid w:val="003C05DF"/>
    <w:rsid w:val="003C0DD0"/>
    <w:rsid w:val="003C185A"/>
    <w:rsid w:val="003C4E97"/>
    <w:rsid w:val="003C52D0"/>
    <w:rsid w:val="003C599A"/>
    <w:rsid w:val="003C6C20"/>
    <w:rsid w:val="003C6D24"/>
    <w:rsid w:val="003C70D8"/>
    <w:rsid w:val="003C74AD"/>
    <w:rsid w:val="003C7862"/>
    <w:rsid w:val="003D03A0"/>
    <w:rsid w:val="003D12AD"/>
    <w:rsid w:val="003D28C2"/>
    <w:rsid w:val="003D2AF0"/>
    <w:rsid w:val="003D44FD"/>
    <w:rsid w:val="003D479A"/>
    <w:rsid w:val="003D4FE4"/>
    <w:rsid w:val="003D6022"/>
    <w:rsid w:val="003D6A37"/>
    <w:rsid w:val="003D707A"/>
    <w:rsid w:val="003E0B22"/>
    <w:rsid w:val="003E0BF3"/>
    <w:rsid w:val="003E1533"/>
    <w:rsid w:val="003E2025"/>
    <w:rsid w:val="003E43DA"/>
    <w:rsid w:val="003E44BE"/>
    <w:rsid w:val="003E4EC7"/>
    <w:rsid w:val="003E6CC9"/>
    <w:rsid w:val="003E789F"/>
    <w:rsid w:val="003F103A"/>
    <w:rsid w:val="003F1568"/>
    <w:rsid w:val="003F1657"/>
    <w:rsid w:val="003F2658"/>
    <w:rsid w:val="003F339C"/>
    <w:rsid w:val="003F3C39"/>
    <w:rsid w:val="003F5876"/>
    <w:rsid w:val="003F6465"/>
    <w:rsid w:val="003F6695"/>
    <w:rsid w:val="003F7060"/>
    <w:rsid w:val="003F7CC7"/>
    <w:rsid w:val="00400550"/>
    <w:rsid w:val="004016AA"/>
    <w:rsid w:val="004018E6"/>
    <w:rsid w:val="00402A05"/>
    <w:rsid w:val="00402E38"/>
    <w:rsid w:val="00402FA0"/>
    <w:rsid w:val="004030C0"/>
    <w:rsid w:val="00403B05"/>
    <w:rsid w:val="00404266"/>
    <w:rsid w:val="004049D9"/>
    <w:rsid w:val="00404F60"/>
    <w:rsid w:val="00405516"/>
    <w:rsid w:val="004056A5"/>
    <w:rsid w:val="00406161"/>
    <w:rsid w:val="00406284"/>
    <w:rsid w:val="0040634B"/>
    <w:rsid w:val="00407AC5"/>
    <w:rsid w:val="00410A1C"/>
    <w:rsid w:val="004117F9"/>
    <w:rsid w:val="0041184A"/>
    <w:rsid w:val="00412C9E"/>
    <w:rsid w:val="00414492"/>
    <w:rsid w:val="00415958"/>
    <w:rsid w:val="00416929"/>
    <w:rsid w:val="00416A32"/>
    <w:rsid w:val="00420E50"/>
    <w:rsid w:val="0042168A"/>
    <w:rsid w:val="00423400"/>
    <w:rsid w:val="0042353E"/>
    <w:rsid w:val="0042359B"/>
    <w:rsid w:val="00423F08"/>
    <w:rsid w:val="00425397"/>
    <w:rsid w:val="00426E6E"/>
    <w:rsid w:val="004274BB"/>
    <w:rsid w:val="004315BE"/>
    <w:rsid w:val="0043381E"/>
    <w:rsid w:val="00433AEA"/>
    <w:rsid w:val="004343CD"/>
    <w:rsid w:val="00434482"/>
    <w:rsid w:val="004362AC"/>
    <w:rsid w:val="00440650"/>
    <w:rsid w:val="00440A1B"/>
    <w:rsid w:val="0044132F"/>
    <w:rsid w:val="0044259E"/>
    <w:rsid w:val="004433DE"/>
    <w:rsid w:val="004439A4"/>
    <w:rsid w:val="00443F7F"/>
    <w:rsid w:val="004442E9"/>
    <w:rsid w:val="0044454C"/>
    <w:rsid w:val="00445947"/>
    <w:rsid w:val="00445C3F"/>
    <w:rsid w:val="00445EFF"/>
    <w:rsid w:val="004465FC"/>
    <w:rsid w:val="00446FCF"/>
    <w:rsid w:val="00447ED7"/>
    <w:rsid w:val="00450B0B"/>
    <w:rsid w:val="00450B9E"/>
    <w:rsid w:val="00450EDA"/>
    <w:rsid w:val="00450EF2"/>
    <w:rsid w:val="00451A58"/>
    <w:rsid w:val="00451B3D"/>
    <w:rsid w:val="00452F5B"/>
    <w:rsid w:val="004538B6"/>
    <w:rsid w:val="0045561C"/>
    <w:rsid w:val="00457C40"/>
    <w:rsid w:val="00457E53"/>
    <w:rsid w:val="00460039"/>
    <w:rsid w:val="0046048A"/>
    <w:rsid w:val="00460FC1"/>
    <w:rsid w:val="004625CA"/>
    <w:rsid w:val="00463797"/>
    <w:rsid w:val="00463D67"/>
    <w:rsid w:val="00465484"/>
    <w:rsid w:val="004663A4"/>
    <w:rsid w:val="00466455"/>
    <w:rsid w:val="004677BD"/>
    <w:rsid w:val="00467856"/>
    <w:rsid w:val="0047012D"/>
    <w:rsid w:val="0047034F"/>
    <w:rsid w:val="004704F2"/>
    <w:rsid w:val="00470BE2"/>
    <w:rsid w:val="00472B71"/>
    <w:rsid w:val="00473400"/>
    <w:rsid w:val="0047341B"/>
    <w:rsid w:val="004737C1"/>
    <w:rsid w:val="00473B0A"/>
    <w:rsid w:val="0047560B"/>
    <w:rsid w:val="00475A24"/>
    <w:rsid w:val="00475E07"/>
    <w:rsid w:val="00477730"/>
    <w:rsid w:val="00477B24"/>
    <w:rsid w:val="00477E59"/>
    <w:rsid w:val="00477F43"/>
    <w:rsid w:val="00480145"/>
    <w:rsid w:val="0048077B"/>
    <w:rsid w:val="004809C7"/>
    <w:rsid w:val="0048309E"/>
    <w:rsid w:val="00483249"/>
    <w:rsid w:val="00483333"/>
    <w:rsid w:val="00483418"/>
    <w:rsid w:val="0048465B"/>
    <w:rsid w:val="0048653A"/>
    <w:rsid w:val="00486FD6"/>
    <w:rsid w:val="00487241"/>
    <w:rsid w:val="00487A3A"/>
    <w:rsid w:val="00487A92"/>
    <w:rsid w:val="004903E8"/>
    <w:rsid w:val="00490C6B"/>
    <w:rsid w:val="004910B0"/>
    <w:rsid w:val="004927BB"/>
    <w:rsid w:val="004929DF"/>
    <w:rsid w:val="00492B0E"/>
    <w:rsid w:val="00493D34"/>
    <w:rsid w:val="00493FB4"/>
    <w:rsid w:val="00494046"/>
    <w:rsid w:val="0049437C"/>
    <w:rsid w:val="00495840"/>
    <w:rsid w:val="0049791D"/>
    <w:rsid w:val="00497A7A"/>
    <w:rsid w:val="00497EFB"/>
    <w:rsid w:val="004A01D1"/>
    <w:rsid w:val="004A071E"/>
    <w:rsid w:val="004A0BB0"/>
    <w:rsid w:val="004A0EFA"/>
    <w:rsid w:val="004A2408"/>
    <w:rsid w:val="004A2B0C"/>
    <w:rsid w:val="004A2B5C"/>
    <w:rsid w:val="004A2B81"/>
    <w:rsid w:val="004A2D03"/>
    <w:rsid w:val="004A2E6C"/>
    <w:rsid w:val="004A31C4"/>
    <w:rsid w:val="004A34D9"/>
    <w:rsid w:val="004A3625"/>
    <w:rsid w:val="004A3F0F"/>
    <w:rsid w:val="004A4AB6"/>
    <w:rsid w:val="004A4BEF"/>
    <w:rsid w:val="004A4D59"/>
    <w:rsid w:val="004A6124"/>
    <w:rsid w:val="004A6564"/>
    <w:rsid w:val="004A6B13"/>
    <w:rsid w:val="004A6B17"/>
    <w:rsid w:val="004A7149"/>
    <w:rsid w:val="004A71C7"/>
    <w:rsid w:val="004A7865"/>
    <w:rsid w:val="004B03A1"/>
    <w:rsid w:val="004B052E"/>
    <w:rsid w:val="004B0830"/>
    <w:rsid w:val="004B0B82"/>
    <w:rsid w:val="004B170E"/>
    <w:rsid w:val="004B2E00"/>
    <w:rsid w:val="004B44B7"/>
    <w:rsid w:val="004B5166"/>
    <w:rsid w:val="004B5493"/>
    <w:rsid w:val="004B59A9"/>
    <w:rsid w:val="004B5F9B"/>
    <w:rsid w:val="004B7F90"/>
    <w:rsid w:val="004C0182"/>
    <w:rsid w:val="004C06E4"/>
    <w:rsid w:val="004C1F55"/>
    <w:rsid w:val="004C2FE0"/>
    <w:rsid w:val="004C50D8"/>
    <w:rsid w:val="004C5AB0"/>
    <w:rsid w:val="004C7355"/>
    <w:rsid w:val="004C7F1A"/>
    <w:rsid w:val="004D1725"/>
    <w:rsid w:val="004D29A8"/>
    <w:rsid w:val="004D3284"/>
    <w:rsid w:val="004D39E2"/>
    <w:rsid w:val="004D3A40"/>
    <w:rsid w:val="004D51A7"/>
    <w:rsid w:val="004D5F7C"/>
    <w:rsid w:val="004D61FB"/>
    <w:rsid w:val="004D630F"/>
    <w:rsid w:val="004D7F03"/>
    <w:rsid w:val="004E01AB"/>
    <w:rsid w:val="004E05E8"/>
    <w:rsid w:val="004E1534"/>
    <w:rsid w:val="004E1ED6"/>
    <w:rsid w:val="004E2CE2"/>
    <w:rsid w:val="004E31CD"/>
    <w:rsid w:val="004E3221"/>
    <w:rsid w:val="004E3EE5"/>
    <w:rsid w:val="004E489E"/>
    <w:rsid w:val="004E50EA"/>
    <w:rsid w:val="004E5829"/>
    <w:rsid w:val="004E6302"/>
    <w:rsid w:val="004E70A5"/>
    <w:rsid w:val="004F14D0"/>
    <w:rsid w:val="004F166A"/>
    <w:rsid w:val="004F2465"/>
    <w:rsid w:val="004F2861"/>
    <w:rsid w:val="004F4056"/>
    <w:rsid w:val="004F45CD"/>
    <w:rsid w:val="004F54B5"/>
    <w:rsid w:val="004F5F71"/>
    <w:rsid w:val="00502D22"/>
    <w:rsid w:val="005033E0"/>
    <w:rsid w:val="0050417D"/>
    <w:rsid w:val="00506FE7"/>
    <w:rsid w:val="00511975"/>
    <w:rsid w:val="005129F4"/>
    <w:rsid w:val="00512BB8"/>
    <w:rsid w:val="00514C11"/>
    <w:rsid w:val="005155DD"/>
    <w:rsid w:val="00515AD2"/>
    <w:rsid w:val="00516CA7"/>
    <w:rsid w:val="005174ED"/>
    <w:rsid w:val="0052156B"/>
    <w:rsid w:val="005231B7"/>
    <w:rsid w:val="005237A0"/>
    <w:rsid w:val="00523D5F"/>
    <w:rsid w:val="00524018"/>
    <w:rsid w:val="00525266"/>
    <w:rsid w:val="00525298"/>
    <w:rsid w:val="00525697"/>
    <w:rsid w:val="0052631D"/>
    <w:rsid w:val="0053223A"/>
    <w:rsid w:val="00533CDD"/>
    <w:rsid w:val="005344A2"/>
    <w:rsid w:val="005344AB"/>
    <w:rsid w:val="00534709"/>
    <w:rsid w:val="00534F74"/>
    <w:rsid w:val="00535694"/>
    <w:rsid w:val="00535804"/>
    <w:rsid w:val="00535A91"/>
    <w:rsid w:val="00536293"/>
    <w:rsid w:val="00536746"/>
    <w:rsid w:val="00536C24"/>
    <w:rsid w:val="00537E5C"/>
    <w:rsid w:val="00541CF0"/>
    <w:rsid w:val="00543046"/>
    <w:rsid w:val="00546C12"/>
    <w:rsid w:val="005472C9"/>
    <w:rsid w:val="00550276"/>
    <w:rsid w:val="00550A2E"/>
    <w:rsid w:val="005515F4"/>
    <w:rsid w:val="00552756"/>
    <w:rsid w:val="005538AF"/>
    <w:rsid w:val="00554889"/>
    <w:rsid w:val="00554BCD"/>
    <w:rsid w:val="0055540D"/>
    <w:rsid w:val="005567B5"/>
    <w:rsid w:val="00556B0C"/>
    <w:rsid w:val="00561FC3"/>
    <w:rsid w:val="00562324"/>
    <w:rsid w:val="005647FA"/>
    <w:rsid w:val="00564F28"/>
    <w:rsid w:val="0056559B"/>
    <w:rsid w:val="00565948"/>
    <w:rsid w:val="00566056"/>
    <w:rsid w:val="005670F0"/>
    <w:rsid w:val="00571FC3"/>
    <w:rsid w:val="00573121"/>
    <w:rsid w:val="00573427"/>
    <w:rsid w:val="005736D1"/>
    <w:rsid w:val="0057426D"/>
    <w:rsid w:val="00574EEF"/>
    <w:rsid w:val="00575CE7"/>
    <w:rsid w:val="00575D0F"/>
    <w:rsid w:val="005762A3"/>
    <w:rsid w:val="00583767"/>
    <w:rsid w:val="00583E5B"/>
    <w:rsid w:val="00584832"/>
    <w:rsid w:val="00584F54"/>
    <w:rsid w:val="00585C73"/>
    <w:rsid w:val="00585FCC"/>
    <w:rsid w:val="00587AA5"/>
    <w:rsid w:val="00587D23"/>
    <w:rsid w:val="00590F79"/>
    <w:rsid w:val="005918E6"/>
    <w:rsid w:val="00592C87"/>
    <w:rsid w:val="00592D91"/>
    <w:rsid w:val="00593397"/>
    <w:rsid w:val="005948B1"/>
    <w:rsid w:val="0059538E"/>
    <w:rsid w:val="00595DBB"/>
    <w:rsid w:val="005977E9"/>
    <w:rsid w:val="00597AFF"/>
    <w:rsid w:val="005A0F89"/>
    <w:rsid w:val="005A104F"/>
    <w:rsid w:val="005A1133"/>
    <w:rsid w:val="005A1B2B"/>
    <w:rsid w:val="005A3A65"/>
    <w:rsid w:val="005A3CD3"/>
    <w:rsid w:val="005A4603"/>
    <w:rsid w:val="005A4850"/>
    <w:rsid w:val="005A545B"/>
    <w:rsid w:val="005A568E"/>
    <w:rsid w:val="005A5B50"/>
    <w:rsid w:val="005A669F"/>
    <w:rsid w:val="005A6AD5"/>
    <w:rsid w:val="005A6C00"/>
    <w:rsid w:val="005A704F"/>
    <w:rsid w:val="005A7142"/>
    <w:rsid w:val="005B0FC4"/>
    <w:rsid w:val="005B1A16"/>
    <w:rsid w:val="005B1F0F"/>
    <w:rsid w:val="005B2907"/>
    <w:rsid w:val="005B3189"/>
    <w:rsid w:val="005B3F71"/>
    <w:rsid w:val="005B50A5"/>
    <w:rsid w:val="005B5B72"/>
    <w:rsid w:val="005B7431"/>
    <w:rsid w:val="005B7982"/>
    <w:rsid w:val="005B7ACB"/>
    <w:rsid w:val="005C061E"/>
    <w:rsid w:val="005C08BD"/>
    <w:rsid w:val="005C0D0B"/>
    <w:rsid w:val="005C1129"/>
    <w:rsid w:val="005C17C0"/>
    <w:rsid w:val="005C1C18"/>
    <w:rsid w:val="005C2298"/>
    <w:rsid w:val="005C303E"/>
    <w:rsid w:val="005C394F"/>
    <w:rsid w:val="005C4286"/>
    <w:rsid w:val="005C58DB"/>
    <w:rsid w:val="005C7DF7"/>
    <w:rsid w:val="005D081A"/>
    <w:rsid w:val="005D2880"/>
    <w:rsid w:val="005D3119"/>
    <w:rsid w:val="005D31AA"/>
    <w:rsid w:val="005D31EF"/>
    <w:rsid w:val="005D3DCB"/>
    <w:rsid w:val="005D53E6"/>
    <w:rsid w:val="005D59E8"/>
    <w:rsid w:val="005D5CEA"/>
    <w:rsid w:val="005D6BF5"/>
    <w:rsid w:val="005D7009"/>
    <w:rsid w:val="005D70B4"/>
    <w:rsid w:val="005E0AFA"/>
    <w:rsid w:val="005E1309"/>
    <w:rsid w:val="005E17CE"/>
    <w:rsid w:val="005E1935"/>
    <w:rsid w:val="005E1BD0"/>
    <w:rsid w:val="005E1BDE"/>
    <w:rsid w:val="005E3B02"/>
    <w:rsid w:val="005E42AD"/>
    <w:rsid w:val="005E470F"/>
    <w:rsid w:val="005E4E2F"/>
    <w:rsid w:val="005E52A5"/>
    <w:rsid w:val="005E52AF"/>
    <w:rsid w:val="005E5423"/>
    <w:rsid w:val="005E57F9"/>
    <w:rsid w:val="005E6F66"/>
    <w:rsid w:val="005E745F"/>
    <w:rsid w:val="005E7EDD"/>
    <w:rsid w:val="005F0679"/>
    <w:rsid w:val="005F0682"/>
    <w:rsid w:val="005F0AC2"/>
    <w:rsid w:val="005F0CEC"/>
    <w:rsid w:val="005F13EC"/>
    <w:rsid w:val="005F14DF"/>
    <w:rsid w:val="005F1CD3"/>
    <w:rsid w:val="005F23F1"/>
    <w:rsid w:val="005F2CD7"/>
    <w:rsid w:val="005F3159"/>
    <w:rsid w:val="005F33ED"/>
    <w:rsid w:val="005F490B"/>
    <w:rsid w:val="005F56CA"/>
    <w:rsid w:val="005F5F6F"/>
    <w:rsid w:val="005F73C8"/>
    <w:rsid w:val="005F7C93"/>
    <w:rsid w:val="0060036C"/>
    <w:rsid w:val="00600F2E"/>
    <w:rsid w:val="00601C67"/>
    <w:rsid w:val="006025A2"/>
    <w:rsid w:val="00602E75"/>
    <w:rsid w:val="0060353C"/>
    <w:rsid w:val="00603C41"/>
    <w:rsid w:val="006068C4"/>
    <w:rsid w:val="00607EAD"/>
    <w:rsid w:val="00611896"/>
    <w:rsid w:val="0061233B"/>
    <w:rsid w:val="00614A34"/>
    <w:rsid w:val="00614F80"/>
    <w:rsid w:val="0061530B"/>
    <w:rsid w:val="00615347"/>
    <w:rsid w:val="0061566A"/>
    <w:rsid w:val="00616870"/>
    <w:rsid w:val="00617CF4"/>
    <w:rsid w:val="00621BCF"/>
    <w:rsid w:val="00622663"/>
    <w:rsid w:val="00622873"/>
    <w:rsid w:val="00624868"/>
    <w:rsid w:val="0062560A"/>
    <w:rsid w:val="00626123"/>
    <w:rsid w:val="00626CEF"/>
    <w:rsid w:val="00630347"/>
    <w:rsid w:val="0063052E"/>
    <w:rsid w:val="00630912"/>
    <w:rsid w:val="00632C9F"/>
    <w:rsid w:val="00633BA3"/>
    <w:rsid w:val="00633EB8"/>
    <w:rsid w:val="00635D01"/>
    <w:rsid w:val="00635D70"/>
    <w:rsid w:val="00636159"/>
    <w:rsid w:val="0063706C"/>
    <w:rsid w:val="006370E9"/>
    <w:rsid w:val="00641084"/>
    <w:rsid w:val="006416EC"/>
    <w:rsid w:val="006429D2"/>
    <w:rsid w:val="0064329B"/>
    <w:rsid w:val="006435F8"/>
    <w:rsid w:val="00643B31"/>
    <w:rsid w:val="00644740"/>
    <w:rsid w:val="00644CF6"/>
    <w:rsid w:val="00645C11"/>
    <w:rsid w:val="00645EDA"/>
    <w:rsid w:val="0064645D"/>
    <w:rsid w:val="00647670"/>
    <w:rsid w:val="00647EC8"/>
    <w:rsid w:val="00650C28"/>
    <w:rsid w:val="00650F54"/>
    <w:rsid w:val="0065269D"/>
    <w:rsid w:val="006546D8"/>
    <w:rsid w:val="00654E5B"/>
    <w:rsid w:val="00656077"/>
    <w:rsid w:val="00656847"/>
    <w:rsid w:val="00656DDE"/>
    <w:rsid w:val="00657576"/>
    <w:rsid w:val="00657898"/>
    <w:rsid w:val="006601F7"/>
    <w:rsid w:val="006603B3"/>
    <w:rsid w:val="00660B43"/>
    <w:rsid w:val="00660FF1"/>
    <w:rsid w:val="006611AA"/>
    <w:rsid w:val="006629F7"/>
    <w:rsid w:val="00662BB2"/>
    <w:rsid w:val="00662CB8"/>
    <w:rsid w:val="00663217"/>
    <w:rsid w:val="0066399B"/>
    <w:rsid w:val="00663E6A"/>
    <w:rsid w:val="00663EE1"/>
    <w:rsid w:val="006647DE"/>
    <w:rsid w:val="006659CB"/>
    <w:rsid w:val="00666043"/>
    <w:rsid w:val="00666E42"/>
    <w:rsid w:val="00667DE7"/>
    <w:rsid w:val="00671FFE"/>
    <w:rsid w:val="00672420"/>
    <w:rsid w:val="006725A2"/>
    <w:rsid w:val="00672EEC"/>
    <w:rsid w:val="00673401"/>
    <w:rsid w:val="00673408"/>
    <w:rsid w:val="00673DB2"/>
    <w:rsid w:val="006740B2"/>
    <w:rsid w:val="006743B1"/>
    <w:rsid w:val="00674522"/>
    <w:rsid w:val="006747BD"/>
    <w:rsid w:val="006749AF"/>
    <w:rsid w:val="00675068"/>
    <w:rsid w:val="006752A1"/>
    <w:rsid w:val="00677562"/>
    <w:rsid w:val="00677979"/>
    <w:rsid w:val="00681F93"/>
    <w:rsid w:val="006826CC"/>
    <w:rsid w:val="00682EA0"/>
    <w:rsid w:val="00683040"/>
    <w:rsid w:val="0068369E"/>
    <w:rsid w:val="006839C4"/>
    <w:rsid w:val="006847BB"/>
    <w:rsid w:val="0068712F"/>
    <w:rsid w:val="00691094"/>
    <w:rsid w:val="006913A2"/>
    <w:rsid w:val="006913C0"/>
    <w:rsid w:val="0069312F"/>
    <w:rsid w:val="0069426A"/>
    <w:rsid w:val="006954E2"/>
    <w:rsid w:val="00695E2E"/>
    <w:rsid w:val="0069603A"/>
    <w:rsid w:val="006966E9"/>
    <w:rsid w:val="00697802"/>
    <w:rsid w:val="00697ABF"/>
    <w:rsid w:val="006A19AC"/>
    <w:rsid w:val="006A1D67"/>
    <w:rsid w:val="006A34FB"/>
    <w:rsid w:val="006A3986"/>
    <w:rsid w:val="006A39A8"/>
    <w:rsid w:val="006A447C"/>
    <w:rsid w:val="006A4D1A"/>
    <w:rsid w:val="006A7BBC"/>
    <w:rsid w:val="006B1275"/>
    <w:rsid w:val="006B1AB2"/>
    <w:rsid w:val="006B1C9E"/>
    <w:rsid w:val="006B1EFA"/>
    <w:rsid w:val="006B2158"/>
    <w:rsid w:val="006B2CCC"/>
    <w:rsid w:val="006B32FF"/>
    <w:rsid w:val="006B4B15"/>
    <w:rsid w:val="006B5177"/>
    <w:rsid w:val="006B5B06"/>
    <w:rsid w:val="006B71C3"/>
    <w:rsid w:val="006B75AC"/>
    <w:rsid w:val="006B79F3"/>
    <w:rsid w:val="006B7FBA"/>
    <w:rsid w:val="006C0033"/>
    <w:rsid w:val="006C02D1"/>
    <w:rsid w:val="006C1ADF"/>
    <w:rsid w:val="006C1EED"/>
    <w:rsid w:val="006C21D0"/>
    <w:rsid w:val="006C22E5"/>
    <w:rsid w:val="006C2810"/>
    <w:rsid w:val="006C51BC"/>
    <w:rsid w:val="006C6532"/>
    <w:rsid w:val="006C653E"/>
    <w:rsid w:val="006C65D8"/>
    <w:rsid w:val="006C6AB2"/>
    <w:rsid w:val="006D0061"/>
    <w:rsid w:val="006D0488"/>
    <w:rsid w:val="006D231A"/>
    <w:rsid w:val="006D24B0"/>
    <w:rsid w:val="006D3158"/>
    <w:rsid w:val="006D371C"/>
    <w:rsid w:val="006D4C07"/>
    <w:rsid w:val="006D542C"/>
    <w:rsid w:val="006D553E"/>
    <w:rsid w:val="006D5D93"/>
    <w:rsid w:val="006D746C"/>
    <w:rsid w:val="006D7A89"/>
    <w:rsid w:val="006D7FC8"/>
    <w:rsid w:val="006E0539"/>
    <w:rsid w:val="006E162F"/>
    <w:rsid w:val="006E21A0"/>
    <w:rsid w:val="006E2CED"/>
    <w:rsid w:val="006E307E"/>
    <w:rsid w:val="006E49BF"/>
    <w:rsid w:val="006E4AE1"/>
    <w:rsid w:val="006E4C45"/>
    <w:rsid w:val="006E5EB9"/>
    <w:rsid w:val="006E684B"/>
    <w:rsid w:val="006F16CF"/>
    <w:rsid w:val="006F29B0"/>
    <w:rsid w:val="006F2A72"/>
    <w:rsid w:val="006F2E53"/>
    <w:rsid w:val="006F30F1"/>
    <w:rsid w:val="006F3849"/>
    <w:rsid w:val="006F3E3E"/>
    <w:rsid w:val="006F56F3"/>
    <w:rsid w:val="006F5E6A"/>
    <w:rsid w:val="006F7F12"/>
    <w:rsid w:val="00700ACE"/>
    <w:rsid w:val="0070158F"/>
    <w:rsid w:val="00702346"/>
    <w:rsid w:val="007033BD"/>
    <w:rsid w:val="00705713"/>
    <w:rsid w:val="00705B7C"/>
    <w:rsid w:val="0070629A"/>
    <w:rsid w:val="007064A8"/>
    <w:rsid w:val="007070BC"/>
    <w:rsid w:val="00707CD2"/>
    <w:rsid w:val="007119B8"/>
    <w:rsid w:val="00712141"/>
    <w:rsid w:val="007122C4"/>
    <w:rsid w:val="00712AAB"/>
    <w:rsid w:val="00714287"/>
    <w:rsid w:val="00714E64"/>
    <w:rsid w:val="00715BD6"/>
    <w:rsid w:val="0071698B"/>
    <w:rsid w:val="00720CCC"/>
    <w:rsid w:val="00720FFF"/>
    <w:rsid w:val="007211D8"/>
    <w:rsid w:val="00721A07"/>
    <w:rsid w:val="00721F6A"/>
    <w:rsid w:val="00722086"/>
    <w:rsid w:val="00723F75"/>
    <w:rsid w:val="007246E0"/>
    <w:rsid w:val="00725569"/>
    <w:rsid w:val="007269E1"/>
    <w:rsid w:val="00726AD9"/>
    <w:rsid w:val="007274DA"/>
    <w:rsid w:val="00727847"/>
    <w:rsid w:val="00730BBA"/>
    <w:rsid w:val="00731D1F"/>
    <w:rsid w:val="007321ED"/>
    <w:rsid w:val="007323EE"/>
    <w:rsid w:val="0073240A"/>
    <w:rsid w:val="00732A63"/>
    <w:rsid w:val="00733DA6"/>
    <w:rsid w:val="00734ED4"/>
    <w:rsid w:val="00736328"/>
    <w:rsid w:val="00736612"/>
    <w:rsid w:val="007374FD"/>
    <w:rsid w:val="0074146A"/>
    <w:rsid w:val="00741C44"/>
    <w:rsid w:val="007423C9"/>
    <w:rsid w:val="007429F3"/>
    <w:rsid w:val="00743A70"/>
    <w:rsid w:val="007455B5"/>
    <w:rsid w:val="0074665F"/>
    <w:rsid w:val="00746A72"/>
    <w:rsid w:val="00747F32"/>
    <w:rsid w:val="00747FF6"/>
    <w:rsid w:val="007512DA"/>
    <w:rsid w:val="00751602"/>
    <w:rsid w:val="00756209"/>
    <w:rsid w:val="00756E8A"/>
    <w:rsid w:val="00757DE9"/>
    <w:rsid w:val="00761873"/>
    <w:rsid w:val="007621D1"/>
    <w:rsid w:val="0076291B"/>
    <w:rsid w:val="00762A09"/>
    <w:rsid w:val="007633DF"/>
    <w:rsid w:val="00763B10"/>
    <w:rsid w:val="00764EBE"/>
    <w:rsid w:val="00764F1B"/>
    <w:rsid w:val="00765323"/>
    <w:rsid w:val="007661D0"/>
    <w:rsid w:val="00767566"/>
    <w:rsid w:val="00770065"/>
    <w:rsid w:val="00770B0C"/>
    <w:rsid w:val="00770C87"/>
    <w:rsid w:val="007713DB"/>
    <w:rsid w:val="00771A89"/>
    <w:rsid w:val="00771C07"/>
    <w:rsid w:val="00772921"/>
    <w:rsid w:val="0077298C"/>
    <w:rsid w:val="00774420"/>
    <w:rsid w:val="007744A2"/>
    <w:rsid w:val="00774F2A"/>
    <w:rsid w:val="00775CEC"/>
    <w:rsid w:val="007761E6"/>
    <w:rsid w:val="007764B7"/>
    <w:rsid w:val="00776F60"/>
    <w:rsid w:val="00777B34"/>
    <w:rsid w:val="007805B8"/>
    <w:rsid w:val="00780B99"/>
    <w:rsid w:val="007812A2"/>
    <w:rsid w:val="007816B9"/>
    <w:rsid w:val="00781AA0"/>
    <w:rsid w:val="00782EB5"/>
    <w:rsid w:val="00783BC4"/>
    <w:rsid w:val="00783D39"/>
    <w:rsid w:val="00783FA3"/>
    <w:rsid w:val="007846E4"/>
    <w:rsid w:val="00784DEA"/>
    <w:rsid w:val="00785685"/>
    <w:rsid w:val="0078594D"/>
    <w:rsid w:val="007867A3"/>
    <w:rsid w:val="00787787"/>
    <w:rsid w:val="00787C67"/>
    <w:rsid w:val="00787F4B"/>
    <w:rsid w:val="00790A60"/>
    <w:rsid w:val="00791BA8"/>
    <w:rsid w:val="007939EF"/>
    <w:rsid w:val="00793ED0"/>
    <w:rsid w:val="0079574A"/>
    <w:rsid w:val="00796B6A"/>
    <w:rsid w:val="00797F37"/>
    <w:rsid w:val="007A00F0"/>
    <w:rsid w:val="007A05B1"/>
    <w:rsid w:val="007A0622"/>
    <w:rsid w:val="007A071A"/>
    <w:rsid w:val="007A1793"/>
    <w:rsid w:val="007A1A7E"/>
    <w:rsid w:val="007A228E"/>
    <w:rsid w:val="007A2CB6"/>
    <w:rsid w:val="007A501F"/>
    <w:rsid w:val="007A71B9"/>
    <w:rsid w:val="007A7240"/>
    <w:rsid w:val="007A73C1"/>
    <w:rsid w:val="007B030A"/>
    <w:rsid w:val="007B1E4F"/>
    <w:rsid w:val="007B2AD9"/>
    <w:rsid w:val="007B3F1E"/>
    <w:rsid w:val="007B5A0F"/>
    <w:rsid w:val="007B670E"/>
    <w:rsid w:val="007B6779"/>
    <w:rsid w:val="007B6937"/>
    <w:rsid w:val="007B6B7A"/>
    <w:rsid w:val="007C067A"/>
    <w:rsid w:val="007C0E27"/>
    <w:rsid w:val="007C1BD8"/>
    <w:rsid w:val="007C1E87"/>
    <w:rsid w:val="007C28E2"/>
    <w:rsid w:val="007C30BC"/>
    <w:rsid w:val="007C5245"/>
    <w:rsid w:val="007C59B1"/>
    <w:rsid w:val="007C61EC"/>
    <w:rsid w:val="007C67A6"/>
    <w:rsid w:val="007C7C22"/>
    <w:rsid w:val="007C7C78"/>
    <w:rsid w:val="007D0432"/>
    <w:rsid w:val="007D0D4B"/>
    <w:rsid w:val="007D155D"/>
    <w:rsid w:val="007D2473"/>
    <w:rsid w:val="007D280E"/>
    <w:rsid w:val="007D3A6C"/>
    <w:rsid w:val="007D588F"/>
    <w:rsid w:val="007D5AE6"/>
    <w:rsid w:val="007D6462"/>
    <w:rsid w:val="007D67B9"/>
    <w:rsid w:val="007D6E88"/>
    <w:rsid w:val="007D7605"/>
    <w:rsid w:val="007D7FFC"/>
    <w:rsid w:val="007E0FBE"/>
    <w:rsid w:val="007E3534"/>
    <w:rsid w:val="007E43A2"/>
    <w:rsid w:val="007E4755"/>
    <w:rsid w:val="007E4852"/>
    <w:rsid w:val="007E5695"/>
    <w:rsid w:val="007E61F4"/>
    <w:rsid w:val="007E6A54"/>
    <w:rsid w:val="007F2904"/>
    <w:rsid w:val="007F2958"/>
    <w:rsid w:val="007F2E60"/>
    <w:rsid w:val="007F3CE3"/>
    <w:rsid w:val="007F4395"/>
    <w:rsid w:val="007F4664"/>
    <w:rsid w:val="007F4AF8"/>
    <w:rsid w:val="007F5476"/>
    <w:rsid w:val="007F55DE"/>
    <w:rsid w:val="007F562C"/>
    <w:rsid w:val="007F57AB"/>
    <w:rsid w:val="007F5FBA"/>
    <w:rsid w:val="007F66FE"/>
    <w:rsid w:val="007F78B5"/>
    <w:rsid w:val="007F78F6"/>
    <w:rsid w:val="00800427"/>
    <w:rsid w:val="00801CDC"/>
    <w:rsid w:val="008034D7"/>
    <w:rsid w:val="00804404"/>
    <w:rsid w:val="00804407"/>
    <w:rsid w:val="00804B86"/>
    <w:rsid w:val="00804C68"/>
    <w:rsid w:val="0080556F"/>
    <w:rsid w:val="00805FBB"/>
    <w:rsid w:val="0080606C"/>
    <w:rsid w:val="008061DD"/>
    <w:rsid w:val="008067D6"/>
    <w:rsid w:val="00807680"/>
    <w:rsid w:val="00807A41"/>
    <w:rsid w:val="00807FF3"/>
    <w:rsid w:val="00811BED"/>
    <w:rsid w:val="00811FA6"/>
    <w:rsid w:val="00814606"/>
    <w:rsid w:val="008146C9"/>
    <w:rsid w:val="0081479F"/>
    <w:rsid w:val="00816BD4"/>
    <w:rsid w:val="008219E3"/>
    <w:rsid w:val="00822293"/>
    <w:rsid w:val="0082262E"/>
    <w:rsid w:val="00822961"/>
    <w:rsid w:val="00822FB0"/>
    <w:rsid w:val="00824A1A"/>
    <w:rsid w:val="00824AFF"/>
    <w:rsid w:val="00824CAC"/>
    <w:rsid w:val="00824D4B"/>
    <w:rsid w:val="00824D5B"/>
    <w:rsid w:val="00825FC6"/>
    <w:rsid w:val="008276C3"/>
    <w:rsid w:val="00827C37"/>
    <w:rsid w:val="00827F03"/>
    <w:rsid w:val="00830956"/>
    <w:rsid w:val="00830AA0"/>
    <w:rsid w:val="00831CEF"/>
    <w:rsid w:val="00832DF0"/>
    <w:rsid w:val="00833813"/>
    <w:rsid w:val="00833F8E"/>
    <w:rsid w:val="0083671D"/>
    <w:rsid w:val="00836B35"/>
    <w:rsid w:val="008408B3"/>
    <w:rsid w:val="00840A0B"/>
    <w:rsid w:val="0084235E"/>
    <w:rsid w:val="008429E4"/>
    <w:rsid w:val="008434BC"/>
    <w:rsid w:val="00843B8B"/>
    <w:rsid w:val="008441F9"/>
    <w:rsid w:val="0084667E"/>
    <w:rsid w:val="008473F3"/>
    <w:rsid w:val="008500D7"/>
    <w:rsid w:val="008508A3"/>
    <w:rsid w:val="008516E2"/>
    <w:rsid w:val="00852BBB"/>
    <w:rsid w:val="008537E2"/>
    <w:rsid w:val="00854390"/>
    <w:rsid w:val="0085595B"/>
    <w:rsid w:val="00856BAA"/>
    <w:rsid w:val="0085753C"/>
    <w:rsid w:val="0085771E"/>
    <w:rsid w:val="008578FC"/>
    <w:rsid w:val="00860246"/>
    <w:rsid w:val="00860C27"/>
    <w:rsid w:val="008619E1"/>
    <w:rsid w:val="00862049"/>
    <w:rsid w:val="00862547"/>
    <w:rsid w:val="00862E7F"/>
    <w:rsid w:val="00863B70"/>
    <w:rsid w:val="00864931"/>
    <w:rsid w:val="00864DC8"/>
    <w:rsid w:val="008657B4"/>
    <w:rsid w:val="00867133"/>
    <w:rsid w:val="008678A8"/>
    <w:rsid w:val="00867B51"/>
    <w:rsid w:val="00870BF3"/>
    <w:rsid w:val="00870D97"/>
    <w:rsid w:val="008710D5"/>
    <w:rsid w:val="00871EE9"/>
    <w:rsid w:val="00873CEB"/>
    <w:rsid w:val="0087477D"/>
    <w:rsid w:val="008749FB"/>
    <w:rsid w:val="00874CB1"/>
    <w:rsid w:val="0087500E"/>
    <w:rsid w:val="00875BDF"/>
    <w:rsid w:val="0088135D"/>
    <w:rsid w:val="008820A3"/>
    <w:rsid w:val="0088228C"/>
    <w:rsid w:val="00882F11"/>
    <w:rsid w:val="008832F4"/>
    <w:rsid w:val="00883A43"/>
    <w:rsid w:val="00884BE8"/>
    <w:rsid w:val="0088799F"/>
    <w:rsid w:val="00887A60"/>
    <w:rsid w:val="00887EE3"/>
    <w:rsid w:val="0089110A"/>
    <w:rsid w:val="008913F0"/>
    <w:rsid w:val="008914F0"/>
    <w:rsid w:val="0089301D"/>
    <w:rsid w:val="008934C6"/>
    <w:rsid w:val="008956A5"/>
    <w:rsid w:val="00895CD3"/>
    <w:rsid w:val="008969E1"/>
    <w:rsid w:val="008975B4"/>
    <w:rsid w:val="008975C0"/>
    <w:rsid w:val="008976A0"/>
    <w:rsid w:val="0089785B"/>
    <w:rsid w:val="008A1985"/>
    <w:rsid w:val="008A1F8D"/>
    <w:rsid w:val="008A21F6"/>
    <w:rsid w:val="008A35AB"/>
    <w:rsid w:val="008A49B6"/>
    <w:rsid w:val="008A4AB3"/>
    <w:rsid w:val="008A4F4B"/>
    <w:rsid w:val="008A569C"/>
    <w:rsid w:val="008A6356"/>
    <w:rsid w:val="008A7322"/>
    <w:rsid w:val="008A7978"/>
    <w:rsid w:val="008B070D"/>
    <w:rsid w:val="008B0C14"/>
    <w:rsid w:val="008B0CE7"/>
    <w:rsid w:val="008B3565"/>
    <w:rsid w:val="008B3B11"/>
    <w:rsid w:val="008B480B"/>
    <w:rsid w:val="008B5479"/>
    <w:rsid w:val="008B58A7"/>
    <w:rsid w:val="008B5D34"/>
    <w:rsid w:val="008B5DCA"/>
    <w:rsid w:val="008B6282"/>
    <w:rsid w:val="008B6871"/>
    <w:rsid w:val="008B6BF5"/>
    <w:rsid w:val="008C035B"/>
    <w:rsid w:val="008C0B0B"/>
    <w:rsid w:val="008C0D76"/>
    <w:rsid w:val="008C1239"/>
    <w:rsid w:val="008C1B8E"/>
    <w:rsid w:val="008C250F"/>
    <w:rsid w:val="008C259B"/>
    <w:rsid w:val="008C2CCC"/>
    <w:rsid w:val="008C3B4E"/>
    <w:rsid w:val="008C47E1"/>
    <w:rsid w:val="008C4B2D"/>
    <w:rsid w:val="008C4DA4"/>
    <w:rsid w:val="008C6B21"/>
    <w:rsid w:val="008C7387"/>
    <w:rsid w:val="008C7D7C"/>
    <w:rsid w:val="008D0291"/>
    <w:rsid w:val="008D0C8C"/>
    <w:rsid w:val="008D0CCF"/>
    <w:rsid w:val="008D16E0"/>
    <w:rsid w:val="008D425B"/>
    <w:rsid w:val="008D5EE9"/>
    <w:rsid w:val="008D771D"/>
    <w:rsid w:val="008E017E"/>
    <w:rsid w:val="008E0812"/>
    <w:rsid w:val="008E21A9"/>
    <w:rsid w:val="008E3096"/>
    <w:rsid w:val="008E4842"/>
    <w:rsid w:val="008E4BB0"/>
    <w:rsid w:val="008E52FF"/>
    <w:rsid w:val="008E6A95"/>
    <w:rsid w:val="008E72DD"/>
    <w:rsid w:val="008E741D"/>
    <w:rsid w:val="008E7E7F"/>
    <w:rsid w:val="008F0026"/>
    <w:rsid w:val="008F052D"/>
    <w:rsid w:val="008F0BB9"/>
    <w:rsid w:val="008F160E"/>
    <w:rsid w:val="008F24AE"/>
    <w:rsid w:val="008F2549"/>
    <w:rsid w:val="008F4234"/>
    <w:rsid w:val="008F528C"/>
    <w:rsid w:val="008F54BA"/>
    <w:rsid w:val="008F5746"/>
    <w:rsid w:val="008F59F3"/>
    <w:rsid w:val="008F6178"/>
    <w:rsid w:val="008F640A"/>
    <w:rsid w:val="008F6BE0"/>
    <w:rsid w:val="008F7F87"/>
    <w:rsid w:val="00900791"/>
    <w:rsid w:val="0090119C"/>
    <w:rsid w:val="00901A8A"/>
    <w:rsid w:val="00902644"/>
    <w:rsid w:val="00902F9C"/>
    <w:rsid w:val="0090327D"/>
    <w:rsid w:val="00903280"/>
    <w:rsid w:val="00903973"/>
    <w:rsid w:val="009044CA"/>
    <w:rsid w:val="009044F2"/>
    <w:rsid w:val="009046DF"/>
    <w:rsid w:val="009060AB"/>
    <w:rsid w:val="0090653F"/>
    <w:rsid w:val="009107D5"/>
    <w:rsid w:val="00910E70"/>
    <w:rsid w:val="00911193"/>
    <w:rsid w:val="00912BF1"/>
    <w:rsid w:val="00913059"/>
    <w:rsid w:val="00913710"/>
    <w:rsid w:val="00913BC7"/>
    <w:rsid w:val="0091403F"/>
    <w:rsid w:val="00914F7E"/>
    <w:rsid w:val="00915E2A"/>
    <w:rsid w:val="0091670B"/>
    <w:rsid w:val="00917E8A"/>
    <w:rsid w:val="009205CD"/>
    <w:rsid w:val="00921F70"/>
    <w:rsid w:val="00921F8A"/>
    <w:rsid w:val="00922189"/>
    <w:rsid w:val="009238D0"/>
    <w:rsid w:val="00923A97"/>
    <w:rsid w:val="009246C8"/>
    <w:rsid w:val="0092562B"/>
    <w:rsid w:val="00925B1D"/>
    <w:rsid w:val="00925CA8"/>
    <w:rsid w:val="009270D5"/>
    <w:rsid w:val="009272A1"/>
    <w:rsid w:val="00927D50"/>
    <w:rsid w:val="00927F12"/>
    <w:rsid w:val="00930A02"/>
    <w:rsid w:val="00930A0B"/>
    <w:rsid w:val="009318AA"/>
    <w:rsid w:val="00931CC4"/>
    <w:rsid w:val="009325DE"/>
    <w:rsid w:val="009331D3"/>
    <w:rsid w:val="00934231"/>
    <w:rsid w:val="0093428A"/>
    <w:rsid w:val="00934A84"/>
    <w:rsid w:val="0093536B"/>
    <w:rsid w:val="00935422"/>
    <w:rsid w:val="00935483"/>
    <w:rsid w:val="00935D35"/>
    <w:rsid w:val="009369FB"/>
    <w:rsid w:val="00937267"/>
    <w:rsid w:val="0093726F"/>
    <w:rsid w:val="00937477"/>
    <w:rsid w:val="00937877"/>
    <w:rsid w:val="00937CF9"/>
    <w:rsid w:val="009418C0"/>
    <w:rsid w:val="00941B75"/>
    <w:rsid w:val="00942F21"/>
    <w:rsid w:val="00944B84"/>
    <w:rsid w:val="00945302"/>
    <w:rsid w:val="00945345"/>
    <w:rsid w:val="009467B7"/>
    <w:rsid w:val="0094791A"/>
    <w:rsid w:val="009479A6"/>
    <w:rsid w:val="00947F76"/>
    <w:rsid w:val="0095335D"/>
    <w:rsid w:val="00954087"/>
    <w:rsid w:val="0095426C"/>
    <w:rsid w:val="00954A03"/>
    <w:rsid w:val="00955553"/>
    <w:rsid w:val="00955A37"/>
    <w:rsid w:val="00956D8E"/>
    <w:rsid w:val="009618A1"/>
    <w:rsid w:val="0096199D"/>
    <w:rsid w:val="00961ACE"/>
    <w:rsid w:val="009632F6"/>
    <w:rsid w:val="009634F5"/>
    <w:rsid w:val="00963940"/>
    <w:rsid w:val="00965046"/>
    <w:rsid w:val="00965099"/>
    <w:rsid w:val="009655DC"/>
    <w:rsid w:val="00965CF4"/>
    <w:rsid w:val="00965EBC"/>
    <w:rsid w:val="009666E1"/>
    <w:rsid w:val="00966D3C"/>
    <w:rsid w:val="0097384F"/>
    <w:rsid w:val="00974E43"/>
    <w:rsid w:val="009757EC"/>
    <w:rsid w:val="00976562"/>
    <w:rsid w:val="00976C5F"/>
    <w:rsid w:val="009777D0"/>
    <w:rsid w:val="00980832"/>
    <w:rsid w:val="00981659"/>
    <w:rsid w:val="00981ED3"/>
    <w:rsid w:val="0098269C"/>
    <w:rsid w:val="00982A9B"/>
    <w:rsid w:val="00983432"/>
    <w:rsid w:val="00983788"/>
    <w:rsid w:val="00983892"/>
    <w:rsid w:val="00984771"/>
    <w:rsid w:val="00985E03"/>
    <w:rsid w:val="009873C1"/>
    <w:rsid w:val="00987F05"/>
    <w:rsid w:val="009923CF"/>
    <w:rsid w:val="00993428"/>
    <w:rsid w:val="00993726"/>
    <w:rsid w:val="0099493C"/>
    <w:rsid w:val="00994EE4"/>
    <w:rsid w:val="00995C79"/>
    <w:rsid w:val="009A088F"/>
    <w:rsid w:val="009A23FA"/>
    <w:rsid w:val="009A2559"/>
    <w:rsid w:val="009A2B68"/>
    <w:rsid w:val="009A411F"/>
    <w:rsid w:val="009A4CF2"/>
    <w:rsid w:val="009A5861"/>
    <w:rsid w:val="009A5FF4"/>
    <w:rsid w:val="009A6ED3"/>
    <w:rsid w:val="009A7AD1"/>
    <w:rsid w:val="009B3A5E"/>
    <w:rsid w:val="009B3C2D"/>
    <w:rsid w:val="009B49F8"/>
    <w:rsid w:val="009B6359"/>
    <w:rsid w:val="009B6CE4"/>
    <w:rsid w:val="009B6F0C"/>
    <w:rsid w:val="009C0167"/>
    <w:rsid w:val="009C0424"/>
    <w:rsid w:val="009C0A38"/>
    <w:rsid w:val="009C1C6E"/>
    <w:rsid w:val="009C1FB9"/>
    <w:rsid w:val="009C2392"/>
    <w:rsid w:val="009C315C"/>
    <w:rsid w:val="009C38C9"/>
    <w:rsid w:val="009C3EB7"/>
    <w:rsid w:val="009C4F9B"/>
    <w:rsid w:val="009C5394"/>
    <w:rsid w:val="009C57F5"/>
    <w:rsid w:val="009C5C59"/>
    <w:rsid w:val="009C5CDB"/>
    <w:rsid w:val="009C65F1"/>
    <w:rsid w:val="009D11AB"/>
    <w:rsid w:val="009D14F0"/>
    <w:rsid w:val="009D40A7"/>
    <w:rsid w:val="009D4416"/>
    <w:rsid w:val="009D45F6"/>
    <w:rsid w:val="009D48A7"/>
    <w:rsid w:val="009D5527"/>
    <w:rsid w:val="009D5D6A"/>
    <w:rsid w:val="009D67E2"/>
    <w:rsid w:val="009D6A26"/>
    <w:rsid w:val="009D76AB"/>
    <w:rsid w:val="009E04B4"/>
    <w:rsid w:val="009E1320"/>
    <w:rsid w:val="009E1EA1"/>
    <w:rsid w:val="009E2A74"/>
    <w:rsid w:val="009E2F93"/>
    <w:rsid w:val="009E4785"/>
    <w:rsid w:val="009E5827"/>
    <w:rsid w:val="009E5B4D"/>
    <w:rsid w:val="009E615C"/>
    <w:rsid w:val="009E762D"/>
    <w:rsid w:val="009F23EA"/>
    <w:rsid w:val="009F2C90"/>
    <w:rsid w:val="009F2CB6"/>
    <w:rsid w:val="009F4A71"/>
    <w:rsid w:val="009F698C"/>
    <w:rsid w:val="009F71BF"/>
    <w:rsid w:val="00A003B5"/>
    <w:rsid w:val="00A00D15"/>
    <w:rsid w:val="00A00D99"/>
    <w:rsid w:val="00A01522"/>
    <w:rsid w:val="00A01839"/>
    <w:rsid w:val="00A01D11"/>
    <w:rsid w:val="00A0264F"/>
    <w:rsid w:val="00A04121"/>
    <w:rsid w:val="00A056EA"/>
    <w:rsid w:val="00A05785"/>
    <w:rsid w:val="00A05D64"/>
    <w:rsid w:val="00A066FC"/>
    <w:rsid w:val="00A06A79"/>
    <w:rsid w:val="00A07009"/>
    <w:rsid w:val="00A0720E"/>
    <w:rsid w:val="00A10A49"/>
    <w:rsid w:val="00A1213B"/>
    <w:rsid w:val="00A12256"/>
    <w:rsid w:val="00A1288B"/>
    <w:rsid w:val="00A12A35"/>
    <w:rsid w:val="00A1395A"/>
    <w:rsid w:val="00A13FAE"/>
    <w:rsid w:val="00A14CD9"/>
    <w:rsid w:val="00A155D2"/>
    <w:rsid w:val="00A15750"/>
    <w:rsid w:val="00A15868"/>
    <w:rsid w:val="00A16A48"/>
    <w:rsid w:val="00A177A1"/>
    <w:rsid w:val="00A17FE0"/>
    <w:rsid w:val="00A2053D"/>
    <w:rsid w:val="00A2069B"/>
    <w:rsid w:val="00A209A8"/>
    <w:rsid w:val="00A221A6"/>
    <w:rsid w:val="00A224BC"/>
    <w:rsid w:val="00A229E9"/>
    <w:rsid w:val="00A24065"/>
    <w:rsid w:val="00A2428C"/>
    <w:rsid w:val="00A268F7"/>
    <w:rsid w:val="00A2761B"/>
    <w:rsid w:val="00A3028D"/>
    <w:rsid w:val="00A3059F"/>
    <w:rsid w:val="00A305A7"/>
    <w:rsid w:val="00A31822"/>
    <w:rsid w:val="00A31C8C"/>
    <w:rsid w:val="00A31DDE"/>
    <w:rsid w:val="00A32C82"/>
    <w:rsid w:val="00A32D85"/>
    <w:rsid w:val="00A342ED"/>
    <w:rsid w:val="00A35A8F"/>
    <w:rsid w:val="00A35D6F"/>
    <w:rsid w:val="00A36BA8"/>
    <w:rsid w:val="00A37752"/>
    <w:rsid w:val="00A37F1E"/>
    <w:rsid w:val="00A41513"/>
    <w:rsid w:val="00A41C98"/>
    <w:rsid w:val="00A41E2A"/>
    <w:rsid w:val="00A41F79"/>
    <w:rsid w:val="00A436DD"/>
    <w:rsid w:val="00A43847"/>
    <w:rsid w:val="00A43B37"/>
    <w:rsid w:val="00A44304"/>
    <w:rsid w:val="00A44551"/>
    <w:rsid w:val="00A44C3D"/>
    <w:rsid w:val="00A45A85"/>
    <w:rsid w:val="00A45C52"/>
    <w:rsid w:val="00A4648D"/>
    <w:rsid w:val="00A471B9"/>
    <w:rsid w:val="00A475A3"/>
    <w:rsid w:val="00A477A6"/>
    <w:rsid w:val="00A47810"/>
    <w:rsid w:val="00A5108A"/>
    <w:rsid w:val="00A516FB"/>
    <w:rsid w:val="00A526E0"/>
    <w:rsid w:val="00A52780"/>
    <w:rsid w:val="00A531C5"/>
    <w:rsid w:val="00A534E2"/>
    <w:rsid w:val="00A53724"/>
    <w:rsid w:val="00A54181"/>
    <w:rsid w:val="00A548D4"/>
    <w:rsid w:val="00A54E38"/>
    <w:rsid w:val="00A56218"/>
    <w:rsid w:val="00A57302"/>
    <w:rsid w:val="00A6007E"/>
    <w:rsid w:val="00A6053F"/>
    <w:rsid w:val="00A6057F"/>
    <w:rsid w:val="00A61565"/>
    <w:rsid w:val="00A61808"/>
    <w:rsid w:val="00A6188F"/>
    <w:rsid w:val="00A6226B"/>
    <w:rsid w:val="00A62EA1"/>
    <w:rsid w:val="00A63ABE"/>
    <w:rsid w:val="00A6458D"/>
    <w:rsid w:val="00A6635B"/>
    <w:rsid w:val="00A6730B"/>
    <w:rsid w:val="00A67385"/>
    <w:rsid w:val="00A70476"/>
    <w:rsid w:val="00A71239"/>
    <w:rsid w:val="00A7123D"/>
    <w:rsid w:val="00A7230A"/>
    <w:rsid w:val="00A733CC"/>
    <w:rsid w:val="00A7353F"/>
    <w:rsid w:val="00A75963"/>
    <w:rsid w:val="00A76129"/>
    <w:rsid w:val="00A7658E"/>
    <w:rsid w:val="00A76C23"/>
    <w:rsid w:val="00A771C0"/>
    <w:rsid w:val="00A777D4"/>
    <w:rsid w:val="00A80523"/>
    <w:rsid w:val="00A80935"/>
    <w:rsid w:val="00A80A41"/>
    <w:rsid w:val="00A82518"/>
    <w:rsid w:val="00A827BD"/>
    <w:rsid w:val="00A8355E"/>
    <w:rsid w:val="00A839C7"/>
    <w:rsid w:val="00A84271"/>
    <w:rsid w:val="00A85B09"/>
    <w:rsid w:val="00A86394"/>
    <w:rsid w:val="00A87097"/>
    <w:rsid w:val="00A87A29"/>
    <w:rsid w:val="00A87EEC"/>
    <w:rsid w:val="00A90A52"/>
    <w:rsid w:val="00A91FB5"/>
    <w:rsid w:val="00A9313D"/>
    <w:rsid w:val="00A955F6"/>
    <w:rsid w:val="00A95915"/>
    <w:rsid w:val="00A95B43"/>
    <w:rsid w:val="00A9601F"/>
    <w:rsid w:val="00A96D84"/>
    <w:rsid w:val="00A96DAA"/>
    <w:rsid w:val="00A9777B"/>
    <w:rsid w:val="00AA043E"/>
    <w:rsid w:val="00AA0447"/>
    <w:rsid w:val="00AA10A8"/>
    <w:rsid w:val="00AA2467"/>
    <w:rsid w:val="00AA4105"/>
    <w:rsid w:val="00AA47D3"/>
    <w:rsid w:val="00AA6274"/>
    <w:rsid w:val="00AA64A7"/>
    <w:rsid w:val="00AA660F"/>
    <w:rsid w:val="00AA67B0"/>
    <w:rsid w:val="00AA696C"/>
    <w:rsid w:val="00AA6EE4"/>
    <w:rsid w:val="00AA7327"/>
    <w:rsid w:val="00AB0485"/>
    <w:rsid w:val="00AB06B4"/>
    <w:rsid w:val="00AB06DB"/>
    <w:rsid w:val="00AB14FF"/>
    <w:rsid w:val="00AB1505"/>
    <w:rsid w:val="00AB1607"/>
    <w:rsid w:val="00AB1910"/>
    <w:rsid w:val="00AB2D17"/>
    <w:rsid w:val="00AB33DA"/>
    <w:rsid w:val="00AB3D87"/>
    <w:rsid w:val="00AB595C"/>
    <w:rsid w:val="00AC02BE"/>
    <w:rsid w:val="00AC1971"/>
    <w:rsid w:val="00AC1CE8"/>
    <w:rsid w:val="00AC1F4E"/>
    <w:rsid w:val="00AC3075"/>
    <w:rsid w:val="00AC3184"/>
    <w:rsid w:val="00AC330F"/>
    <w:rsid w:val="00AC3962"/>
    <w:rsid w:val="00AC39D4"/>
    <w:rsid w:val="00AC4685"/>
    <w:rsid w:val="00AC4ED4"/>
    <w:rsid w:val="00AC5AAD"/>
    <w:rsid w:val="00AC5DD8"/>
    <w:rsid w:val="00AC733B"/>
    <w:rsid w:val="00AC73EA"/>
    <w:rsid w:val="00AC7E78"/>
    <w:rsid w:val="00AD042D"/>
    <w:rsid w:val="00AD18D1"/>
    <w:rsid w:val="00AD24C6"/>
    <w:rsid w:val="00AD2C74"/>
    <w:rsid w:val="00AD32D4"/>
    <w:rsid w:val="00AD3AD0"/>
    <w:rsid w:val="00AD3C68"/>
    <w:rsid w:val="00AD3D5F"/>
    <w:rsid w:val="00AD420E"/>
    <w:rsid w:val="00AD44AD"/>
    <w:rsid w:val="00AD517C"/>
    <w:rsid w:val="00AD53EF"/>
    <w:rsid w:val="00AD5DF4"/>
    <w:rsid w:val="00AD683E"/>
    <w:rsid w:val="00AD6A9C"/>
    <w:rsid w:val="00AE027D"/>
    <w:rsid w:val="00AE2848"/>
    <w:rsid w:val="00AE3BD4"/>
    <w:rsid w:val="00AE3D66"/>
    <w:rsid w:val="00AE4BB2"/>
    <w:rsid w:val="00AE4C84"/>
    <w:rsid w:val="00AE6069"/>
    <w:rsid w:val="00AE79AB"/>
    <w:rsid w:val="00AE7B88"/>
    <w:rsid w:val="00AE7D23"/>
    <w:rsid w:val="00AF001C"/>
    <w:rsid w:val="00AF14D7"/>
    <w:rsid w:val="00AF2304"/>
    <w:rsid w:val="00AF4780"/>
    <w:rsid w:val="00AF5877"/>
    <w:rsid w:val="00AF5BF8"/>
    <w:rsid w:val="00AF5D5A"/>
    <w:rsid w:val="00AF6874"/>
    <w:rsid w:val="00B007D8"/>
    <w:rsid w:val="00B00A20"/>
    <w:rsid w:val="00B00EEC"/>
    <w:rsid w:val="00B012B7"/>
    <w:rsid w:val="00B0146A"/>
    <w:rsid w:val="00B0199A"/>
    <w:rsid w:val="00B0396B"/>
    <w:rsid w:val="00B03CE3"/>
    <w:rsid w:val="00B048A9"/>
    <w:rsid w:val="00B05008"/>
    <w:rsid w:val="00B0505C"/>
    <w:rsid w:val="00B05933"/>
    <w:rsid w:val="00B05D23"/>
    <w:rsid w:val="00B0607A"/>
    <w:rsid w:val="00B06B33"/>
    <w:rsid w:val="00B10250"/>
    <w:rsid w:val="00B1058A"/>
    <w:rsid w:val="00B10CAE"/>
    <w:rsid w:val="00B11BDA"/>
    <w:rsid w:val="00B11FC1"/>
    <w:rsid w:val="00B1441F"/>
    <w:rsid w:val="00B14C54"/>
    <w:rsid w:val="00B14CAB"/>
    <w:rsid w:val="00B159EA"/>
    <w:rsid w:val="00B165BC"/>
    <w:rsid w:val="00B168B8"/>
    <w:rsid w:val="00B17C94"/>
    <w:rsid w:val="00B2041E"/>
    <w:rsid w:val="00B20613"/>
    <w:rsid w:val="00B20C46"/>
    <w:rsid w:val="00B2222B"/>
    <w:rsid w:val="00B225C7"/>
    <w:rsid w:val="00B22C6E"/>
    <w:rsid w:val="00B245E5"/>
    <w:rsid w:val="00B25EEB"/>
    <w:rsid w:val="00B2621B"/>
    <w:rsid w:val="00B2695A"/>
    <w:rsid w:val="00B27105"/>
    <w:rsid w:val="00B27325"/>
    <w:rsid w:val="00B303D4"/>
    <w:rsid w:val="00B31A9D"/>
    <w:rsid w:val="00B32A53"/>
    <w:rsid w:val="00B32C09"/>
    <w:rsid w:val="00B32EF4"/>
    <w:rsid w:val="00B3362C"/>
    <w:rsid w:val="00B33F7B"/>
    <w:rsid w:val="00B342F5"/>
    <w:rsid w:val="00B34402"/>
    <w:rsid w:val="00B362E8"/>
    <w:rsid w:val="00B3643E"/>
    <w:rsid w:val="00B36AE2"/>
    <w:rsid w:val="00B37545"/>
    <w:rsid w:val="00B37B38"/>
    <w:rsid w:val="00B40A2F"/>
    <w:rsid w:val="00B40DF5"/>
    <w:rsid w:val="00B419C5"/>
    <w:rsid w:val="00B420D1"/>
    <w:rsid w:val="00B42452"/>
    <w:rsid w:val="00B427EB"/>
    <w:rsid w:val="00B42CA3"/>
    <w:rsid w:val="00B42D72"/>
    <w:rsid w:val="00B444B9"/>
    <w:rsid w:val="00B468B3"/>
    <w:rsid w:val="00B469D8"/>
    <w:rsid w:val="00B478F0"/>
    <w:rsid w:val="00B5147C"/>
    <w:rsid w:val="00B5357F"/>
    <w:rsid w:val="00B556A7"/>
    <w:rsid w:val="00B5627D"/>
    <w:rsid w:val="00B573CD"/>
    <w:rsid w:val="00B57B70"/>
    <w:rsid w:val="00B60494"/>
    <w:rsid w:val="00B620C7"/>
    <w:rsid w:val="00B638F0"/>
    <w:rsid w:val="00B63D35"/>
    <w:rsid w:val="00B63ED4"/>
    <w:rsid w:val="00B64BDA"/>
    <w:rsid w:val="00B66D38"/>
    <w:rsid w:val="00B679DD"/>
    <w:rsid w:val="00B70248"/>
    <w:rsid w:val="00B71580"/>
    <w:rsid w:val="00B7225D"/>
    <w:rsid w:val="00B72D04"/>
    <w:rsid w:val="00B7391E"/>
    <w:rsid w:val="00B7441E"/>
    <w:rsid w:val="00B75CF2"/>
    <w:rsid w:val="00B75D41"/>
    <w:rsid w:val="00B76F37"/>
    <w:rsid w:val="00B7737D"/>
    <w:rsid w:val="00B80500"/>
    <w:rsid w:val="00B80652"/>
    <w:rsid w:val="00B82197"/>
    <w:rsid w:val="00B82F05"/>
    <w:rsid w:val="00B82FD7"/>
    <w:rsid w:val="00B83751"/>
    <w:rsid w:val="00B84813"/>
    <w:rsid w:val="00B85580"/>
    <w:rsid w:val="00B85AD4"/>
    <w:rsid w:val="00B86582"/>
    <w:rsid w:val="00B86B06"/>
    <w:rsid w:val="00B86F20"/>
    <w:rsid w:val="00B86F8F"/>
    <w:rsid w:val="00B8762C"/>
    <w:rsid w:val="00B87928"/>
    <w:rsid w:val="00B87F63"/>
    <w:rsid w:val="00B9023F"/>
    <w:rsid w:val="00B90929"/>
    <w:rsid w:val="00B92CD1"/>
    <w:rsid w:val="00B936D3"/>
    <w:rsid w:val="00B93FFE"/>
    <w:rsid w:val="00B96CDA"/>
    <w:rsid w:val="00B9719C"/>
    <w:rsid w:val="00B97438"/>
    <w:rsid w:val="00B97A41"/>
    <w:rsid w:val="00BA020B"/>
    <w:rsid w:val="00BA03E3"/>
    <w:rsid w:val="00BA0A3A"/>
    <w:rsid w:val="00BA11F1"/>
    <w:rsid w:val="00BA1558"/>
    <w:rsid w:val="00BA1A59"/>
    <w:rsid w:val="00BA277E"/>
    <w:rsid w:val="00BA4E0C"/>
    <w:rsid w:val="00BA4F85"/>
    <w:rsid w:val="00BA5043"/>
    <w:rsid w:val="00BA7276"/>
    <w:rsid w:val="00BB16D1"/>
    <w:rsid w:val="00BB1F58"/>
    <w:rsid w:val="00BB24F3"/>
    <w:rsid w:val="00BB2572"/>
    <w:rsid w:val="00BB294B"/>
    <w:rsid w:val="00BB2C81"/>
    <w:rsid w:val="00BB39A6"/>
    <w:rsid w:val="00BB4E8A"/>
    <w:rsid w:val="00BB5B41"/>
    <w:rsid w:val="00BB7513"/>
    <w:rsid w:val="00BB7933"/>
    <w:rsid w:val="00BC0701"/>
    <w:rsid w:val="00BC1567"/>
    <w:rsid w:val="00BC1BAD"/>
    <w:rsid w:val="00BC2F1A"/>
    <w:rsid w:val="00BC4AEA"/>
    <w:rsid w:val="00BC5CE5"/>
    <w:rsid w:val="00BC7DEB"/>
    <w:rsid w:val="00BD01A6"/>
    <w:rsid w:val="00BD01ED"/>
    <w:rsid w:val="00BD1A9D"/>
    <w:rsid w:val="00BD1D3E"/>
    <w:rsid w:val="00BD28BA"/>
    <w:rsid w:val="00BD2A72"/>
    <w:rsid w:val="00BD3791"/>
    <w:rsid w:val="00BD4023"/>
    <w:rsid w:val="00BD54F5"/>
    <w:rsid w:val="00BD57CB"/>
    <w:rsid w:val="00BD7505"/>
    <w:rsid w:val="00BD7780"/>
    <w:rsid w:val="00BE2045"/>
    <w:rsid w:val="00BE20E7"/>
    <w:rsid w:val="00BE3C05"/>
    <w:rsid w:val="00BE41D8"/>
    <w:rsid w:val="00BE48C9"/>
    <w:rsid w:val="00BE54AC"/>
    <w:rsid w:val="00BE5A8C"/>
    <w:rsid w:val="00BE6332"/>
    <w:rsid w:val="00BE6C71"/>
    <w:rsid w:val="00BE6E70"/>
    <w:rsid w:val="00BE7AA3"/>
    <w:rsid w:val="00BF0C63"/>
    <w:rsid w:val="00BF0EF7"/>
    <w:rsid w:val="00BF10E5"/>
    <w:rsid w:val="00BF1955"/>
    <w:rsid w:val="00BF2C35"/>
    <w:rsid w:val="00BF4ED0"/>
    <w:rsid w:val="00BF58BA"/>
    <w:rsid w:val="00BF722D"/>
    <w:rsid w:val="00C005C0"/>
    <w:rsid w:val="00C0196C"/>
    <w:rsid w:val="00C02DCF"/>
    <w:rsid w:val="00C034C5"/>
    <w:rsid w:val="00C03A69"/>
    <w:rsid w:val="00C04091"/>
    <w:rsid w:val="00C04A3D"/>
    <w:rsid w:val="00C04C87"/>
    <w:rsid w:val="00C053F3"/>
    <w:rsid w:val="00C054BF"/>
    <w:rsid w:val="00C05969"/>
    <w:rsid w:val="00C05B03"/>
    <w:rsid w:val="00C05E72"/>
    <w:rsid w:val="00C065BC"/>
    <w:rsid w:val="00C075F2"/>
    <w:rsid w:val="00C0763E"/>
    <w:rsid w:val="00C076DD"/>
    <w:rsid w:val="00C130B9"/>
    <w:rsid w:val="00C1344E"/>
    <w:rsid w:val="00C13A71"/>
    <w:rsid w:val="00C13D78"/>
    <w:rsid w:val="00C14072"/>
    <w:rsid w:val="00C14585"/>
    <w:rsid w:val="00C164F1"/>
    <w:rsid w:val="00C16BA2"/>
    <w:rsid w:val="00C17497"/>
    <w:rsid w:val="00C174A1"/>
    <w:rsid w:val="00C2040B"/>
    <w:rsid w:val="00C2120A"/>
    <w:rsid w:val="00C21FFB"/>
    <w:rsid w:val="00C22464"/>
    <w:rsid w:val="00C22630"/>
    <w:rsid w:val="00C23F2D"/>
    <w:rsid w:val="00C2413C"/>
    <w:rsid w:val="00C242E2"/>
    <w:rsid w:val="00C2439E"/>
    <w:rsid w:val="00C247CF"/>
    <w:rsid w:val="00C2527A"/>
    <w:rsid w:val="00C2596B"/>
    <w:rsid w:val="00C27601"/>
    <w:rsid w:val="00C30DAF"/>
    <w:rsid w:val="00C310D8"/>
    <w:rsid w:val="00C31433"/>
    <w:rsid w:val="00C314D1"/>
    <w:rsid w:val="00C31B2D"/>
    <w:rsid w:val="00C31FBE"/>
    <w:rsid w:val="00C3246F"/>
    <w:rsid w:val="00C32871"/>
    <w:rsid w:val="00C32A71"/>
    <w:rsid w:val="00C32CBE"/>
    <w:rsid w:val="00C33158"/>
    <w:rsid w:val="00C33D9B"/>
    <w:rsid w:val="00C34563"/>
    <w:rsid w:val="00C34FAA"/>
    <w:rsid w:val="00C3772B"/>
    <w:rsid w:val="00C37CDE"/>
    <w:rsid w:val="00C404BA"/>
    <w:rsid w:val="00C40887"/>
    <w:rsid w:val="00C41257"/>
    <w:rsid w:val="00C41674"/>
    <w:rsid w:val="00C41889"/>
    <w:rsid w:val="00C41FB0"/>
    <w:rsid w:val="00C42102"/>
    <w:rsid w:val="00C42834"/>
    <w:rsid w:val="00C43589"/>
    <w:rsid w:val="00C43CED"/>
    <w:rsid w:val="00C43E6D"/>
    <w:rsid w:val="00C451C8"/>
    <w:rsid w:val="00C46C32"/>
    <w:rsid w:val="00C47611"/>
    <w:rsid w:val="00C47FBB"/>
    <w:rsid w:val="00C50B29"/>
    <w:rsid w:val="00C50E57"/>
    <w:rsid w:val="00C5135C"/>
    <w:rsid w:val="00C51EF8"/>
    <w:rsid w:val="00C55038"/>
    <w:rsid w:val="00C566A1"/>
    <w:rsid w:val="00C56B77"/>
    <w:rsid w:val="00C56F80"/>
    <w:rsid w:val="00C57482"/>
    <w:rsid w:val="00C57749"/>
    <w:rsid w:val="00C577AC"/>
    <w:rsid w:val="00C6017A"/>
    <w:rsid w:val="00C60295"/>
    <w:rsid w:val="00C606AB"/>
    <w:rsid w:val="00C607D3"/>
    <w:rsid w:val="00C6089D"/>
    <w:rsid w:val="00C6123C"/>
    <w:rsid w:val="00C6255A"/>
    <w:rsid w:val="00C62D26"/>
    <w:rsid w:val="00C647CB"/>
    <w:rsid w:val="00C64DBF"/>
    <w:rsid w:val="00C65C59"/>
    <w:rsid w:val="00C66836"/>
    <w:rsid w:val="00C7028C"/>
    <w:rsid w:val="00C70B51"/>
    <w:rsid w:val="00C71794"/>
    <w:rsid w:val="00C72315"/>
    <w:rsid w:val="00C72A06"/>
    <w:rsid w:val="00C737DE"/>
    <w:rsid w:val="00C74E40"/>
    <w:rsid w:val="00C76137"/>
    <w:rsid w:val="00C76637"/>
    <w:rsid w:val="00C777E1"/>
    <w:rsid w:val="00C778FC"/>
    <w:rsid w:val="00C77A8E"/>
    <w:rsid w:val="00C77C56"/>
    <w:rsid w:val="00C80075"/>
    <w:rsid w:val="00C80CD5"/>
    <w:rsid w:val="00C8176C"/>
    <w:rsid w:val="00C82188"/>
    <w:rsid w:val="00C827E0"/>
    <w:rsid w:val="00C83CE7"/>
    <w:rsid w:val="00C84236"/>
    <w:rsid w:val="00C84470"/>
    <w:rsid w:val="00C84518"/>
    <w:rsid w:val="00C8486D"/>
    <w:rsid w:val="00C84AFA"/>
    <w:rsid w:val="00C864A0"/>
    <w:rsid w:val="00C877C8"/>
    <w:rsid w:val="00C90FF2"/>
    <w:rsid w:val="00C922E6"/>
    <w:rsid w:val="00C93C85"/>
    <w:rsid w:val="00C94189"/>
    <w:rsid w:val="00C948DE"/>
    <w:rsid w:val="00C95CF5"/>
    <w:rsid w:val="00C96571"/>
    <w:rsid w:val="00C969F9"/>
    <w:rsid w:val="00C96E08"/>
    <w:rsid w:val="00C97512"/>
    <w:rsid w:val="00CA104D"/>
    <w:rsid w:val="00CA11C5"/>
    <w:rsid w:val="00CA11F9"/>
    <w:rsid w:val="00CA2754"/>
    <w:rsid w:val="00CA2D9D"/>
    <w:rsid w:val="00CA4D78"/>
    <w:rsid w:val="00CA5389"/>
    <w:rsid w:val="00CA605E"/>
    <w:rsid w:val="00CA6574"/>
    <w:rsid w:val="00CA7BC9"/>
    <w:rsid w:val="00CB0577"/>
    <w:rsid w:val="00CB0A40"/>
    <w:rsid w:val="00CB0D2F"/>
    <w:rsid w:val="00CB0EF2"/>
    <w:rsid w:val="00CB1789"/>
    <w:rsid w:val="00CB2DB2"/>
    <w:rsid w:val="00CB318A"/>
    <w:rsid w:val="00CB387E"/>
    <w:rsid w:val="00CB6940"/>
    <w:rsid w:val="00CB777B"/>
    <w:rsid w:val="00CC0571"/>
    <w:rsid w:val="00CC209B"/>
    <w:rsid w:val="00CC238F"/>
    <w:rsid w:val="00CC420B"/>
    <w:rsid w:val="00CC4296"/>
    <w:rsid w:val="00CC4A13"/>
    <w:rsid w:val="00CC4C27"/>
    <w:rsid w:val="00CC5DD4"/>
    <w:rsid w:val="00CC6921"/>
    <w:rsid w:val="00CC73E7"/>
    <w:rsid w:val="00CD2092"/>
    <w:rsid w:val="00CD493C"/>
    <w:rsid w:val="00CD4B0C"/>
    <w:rsid w:val="00CD4FEC"/>
    <w:rsid w:val="00CD58E4"/>
    <w:rsid w:val="00CD605B"/>
    <w:rsid w:val="00CD7547"/>
    <w:rsid w:val="00CD7D8A"/>
    <w:rsid w:val="00CD7D95"/>
    <w:rsid w:val="00CE0061"/>
    <w:rsid w:val="00CE0865"/>
    <w:rsid w:val="00CE0D91"/>
    <w:rsid w:val="00CE12E7"/>
    <w:rsid w:val="00CE46F6"/>
    <w:rsid w:val="00CE4F7D"/>
    <w:rsid w:val="00CE5484"/>
    <w:rsid w:val="00CE5E2D"/>
    <w:rsid w:val="00CE78E9"/>
    <w:rsid w:val="00CE7FDE"/>
    <w:rsid w:val="00CF04FA"/>
    <w:rsid w:val="00CF2EDA"/>
    <w:rsid w:val="00CF3CC7"/>
    <w:rsid w:val="00CF4D9F"/>
    <w:rsid w:val="00CF541E"/>
    <w:rsid w:val="00D00889"/>
    <w:rsid w:val="00D021F0"/>
    <w:rsid w:val="00D0267C"/>
    <w:rsid w:val="00D02C0D"/>
    <w:rsid w:val="00D03055"/>
    <w:rsid w:val="00D036C9"/>
    <w:rsid w:val="00D04011"/>
    <w:rsid w:val="00D04E17"/>
    <w:rsid w:val="00D054E7"/>
    <w:rsid w:val="00D058AD"/>
    <w:rsid w:val="00D10DB5"/>
    <w:rsid w:val="00D11A78"/>
    <w:rsid w:val="00D11B3A"/>
    <w:rsid w:val="00D12669"/>
    <w:rsid w:val="00D14092"/>
    <w:rsid w:val="00D144A6"/>
    <w:rsid w:val="00D14987"/>
    <w:rsid w:val="00D15217"/>
    <w:rsid w:val="00D156CC"/>
    <w:rsid w:val="00D15979"/>
    <w:rsid w:val="00D164C4"/>
    <w:rsid w:val="00D1652D"/>
    <w:rsid w:val="00D177BF"/>
    <w:rsid w:val="00D17A76"/>
    <w:rsid w:val="00D201BB"/>
    <w:rsid w:val="00D21054"/>
    <w:rsid w:val="00D2148A"/>
    <w:rsid w:val="00D21D84"/>
    <w:rsid w:val="00D22D77"/>
    <w:rsid w:val="00D2439C"/>
    <w:rsid w:val="00D24EF7"/>
    <w:rsid w:val="00D2643F"/>
    <w:rsid w:val="00D26CA2"/>
    <w:rsid w:val="00D27F14"/>
    <w:rsid w:val="00D300CA"/>
    <w:rsid w:val="00D30AB3"/>
    <w:rsid w:val="00D31791"/>
    <w:rsid w:val="00D31F9C"/>
    <w:rsid w:val="00D32164"/>
    <w:rsid w:val="00D328F3"/>
    <w:rsid w:val="00D339C4"/>
    <w:rsid w:val="00D33DEF"/>
    <w:rsid w:val="00D34CC9"/>
    <w:rsid w:val="00D3521B"/>
    <w:rsid w:val="00D36336"/>
    <w:rsid w:val="00D405FC"/>
    <w:rsid w:val="00D4085C"/>
    <w:rsid w:val="00D41557"/>
    <w:rsid w:val="00D418AE"/>
    <w:rsid w:val="00D4453C"/>
    <w:rsid w:val="00D44600"/>
    <w:rsid w:val="00D44762"/>
    <w:rsid w:val="00D45209"/>
    <w:rsid w:val="00D459B2"/>
    <w:rsid w:val="00D46A57"/>
    <w:rsid w:val="00D50A33"/>
    <w:rsid w:val="00D51ABC"/>
    <w:rsid w:val="00D51EE0"/>
    <w:rsid w:val="00D52FA4"/>
    <w:rsid w:val="00D531B5"/>
    <w:rsid w:val="00D532A0"/>
    <w:rsid w:val="00D537A6"/>
    <w:rsid w:val="00D54072"/>
    <w:rsid w:val="00D54C29"/>
    <w:rsid w:val="00D54D37"/>
    <w:rsid w:val="00D56562"/>
    <w:rsid w:val="00D56687"/>
    <w:rsid w:val="00D57B6E"/>
    <w:rsid w:val="00D60652"/>
    <w:rsid w:val="00D61469"/>
    <w:rsid w:val="00D615C0"/>
    <w:rsid w:val="00D62282"/>
    <w:rsid w:val="00D62403"/>
    <w:rsid w:val="00D625FC"/>
    <w:rsid w:val="00D63D81"/>
    <w:rsid w:val="00D64DFB"/>
    <w:rsid w:val="00D654A8"/>
    <w:rsid w:val="00D65BA8"/>
    <w:rsid w:val="00D66FA4"/>
    <w:rsid w:val="00D67209"/>
    <w:rsid w:val="00D70B88"/>
    <w:rsid w:val="00D715AD"/>
    <w:rsid w:val="00D71B10"/>
    <w:rsid w:val="00D71C84"/>
    <w:rsid w:val="00D71E3F"/>
    <w:rsid w:val="00D72816"/>
    <w:rsid w:val="00D72EB3"/>
    <w:rsid w:val="00D73D40"/>
    <w:rsid w:val="00D77782"/>
    <w:rsid w:val="00D77992"/>
    <w:rsid w:val="00D81CD0"/>
    <w:rsid w:val="00D8207F"/>
    <w:rsid w:val="00D823E4"/>
    <w:rsid w:val="00D85AF5"/>
    <w:rsid w:val="00D86FCE"/>
    <w:rsid w:val="00D9012D"/>
    <w:rsid w:val="00D9069C"/>
    <w:rsid w:val="00D9164B"/>
    <w:rsid w:val="00D91BF3"/>
    <w:rsid w:val="00D92614"/>
    <w:rsid w:val="00D9277C"/>
    <w:rsid w:val="00D92963"/>
    <w:rsid w:val="00D92A00"/>
    <w:rsid w:val="00D93E09"/>
    <w:rsid w:val="00D95160"/>
    <w:rsid w:val="00D952E4"/>
    <w:rsid w:val="00D96855"/>
    <w:rsid w:val="00D96E10"/>
    <w:rsid w:val="00D97333"/>
    <w:rsid w:val="00DA0610"/>
    <w:rsid w:val="00DA0C17"/>
    <w:rsid w:val="00DA0EDA"/>
    <w:rsid w:val="00DA21E6"/>
    <w:rsid w:val="00DA2647"/>
    <w:rsid w:val="00DA31B7"/>
    <w:rsid w:val="00DA33F9"/>
    <w:rsid w:val="00DA44BF"/>
    <w:rsid w:val="00DA4B06"/>
    <w:rsid w:val="00DA5363"/>
    <w:rsid w:val="00DA574C"/>
    <w:rsid w:val="00DA5DBB"/>
    <w:rsid w:val="00DA6B0A"/>
    <w:rsid w:val="00DA6B97"/>
    <w:rsid w:val="00DA6C04"/>
    <w:rsid w:val="00DB03C0"/>
    <w:rsid w:val="00DB043D"/>
    <w:rsid w:val="00DB1137"/>
    <w:rsid w:val="00DB217D"/>
    <w:rsid w:val="00DB2FCA"/>
    <w:rsid w:val="00DB3851"/>
    <w:rsid w:val="00DB3A13"/>
    <w:rsid w:val="00DB4DAD"/>
    <w:rsid w:val="00DB4E9D"/>
    <w:rsid w:val="00DB5D03"/>
    <w:rsid w:val="00DB6102"/>
    <w:rsid w:val="00DB69CC"/>
    <w:rsid w:val="00DB7708"/>
    <w:rsid w:val="00DB77C4"/>
    <w:rsid w:val="00DB7A69"/>
    <w:rsid w:val="00DB7D89"/>
    <w:rsid w:val="00DC02E8"/>
    <w:rsid w:val="00DC0E3E"/>
    <w:rsid w:val="00DC2417"/>
    <w:rsid w:val="00DC26ED"/>
    <w:rsid w:val="00DC2BB1"/>
    <w:rsid w:val="00DC3A95"/>
    <w:rsid w:val="00DC3D7B"/>
    <w:rsid w:val="00DC43B5"/>
    <w:rsid w:val="00DC49C0"/>
    <w:rsid w:val="00DC4BFC"/>
    <w:rsid w:val="00DC5D54"/>
    <w:rsid w:val="00DC5E43"/>
    <w:rsid w:val="00DC5E93"/>
    <w:rsid w:val="00DC7EEA"/>
    <w:rsid w:val="00DD163E"/>
    <w:rsid w:val="00DD1706"/>
    <w:rsid w:val="00DD202D"/>
    <w:rsid w:val="00DD3056"/>
    <w:rsid w:val="00DD30BB"/>
    <w:rsid w:val="00DD3A0B"/>
    <w:rsid w:val="00DD3E75"/>
    <w:rsid w:val="00DD43A5"/>
    <w:rsid w:val="00DD43AF"/>
    <w:rsid w:val="00DD43DC"/>
    <w:rsid w:val="00DD52BE"/>
    <w:rsid w:val="00DD5439"/>
    <w:rsid w:val="00DD5540"/>
    <w:rsid w:val="00DD55BB"/>
    <w:rsid w:val="00DD64B1"/>
    <w:rsid w:val="00DD7BD6"/>
    <w:rsid w:val="00DE0AC1"/>
    <w:rsid w:val="00DE0BA1"/>
    <w:rsid w:val="00DE1F55"/>
    <w:rsid w:val="00DE24C4"/>
    <w:rsid w:val="00DE2BD8"/>
    <w:rsid w:val="00DE3066"/>
    <w:rsid w:val="00DE381A"/>
    <w:rsid w:val="00DE3A81"/>
    <w:rsid w:val="00DE4193"/>
    <w:rsid w:val="00DE4DB9"/>
    <w:rsid w:val="00DE5892"/>
    <w:rsid w:val="00DE591C"/>
    <w:rsid w:val="00DE5DA3"/>
    <w:rsid w:val="00DE6792"/>
    <w:rsid w:val="00DE6962"/>
    <w:rsid w:val="00DF0870"/>
    <w:rsid w:val="00DF0C6C"/>
    <w:rsid w:val="00DF1570"/>
    <w:rsid w:val="00DF16E7"/>
    <w:rsid w:val="00DF2AE9"/>
    <w:rsid w:val="00DF3C17"/>
    <w:rsid w:val="00DF435D"/>
    <w:rsid w:val="00DF49F6"/>
    <w:rsid w:val="00DF5B78"/>
    <w:rsid w:val="00DF6EFE"/>
    <w:rsid w:val="00DF70C2"/>
    <w:rsid w:val="00DF773D"/>
    <w:rsid w:val="00DF7A38"/>
    <w:rsid w:val="00DF7C1C"/>
    <w:rsid w:val="00E0071F"/>
    <w:rsid w:val="00E00796"/>
    <w:rsid w:val="00E009CD"/>
    <w:rsid w:val="00E00A55"/>
    <w:rsid w:val="00E01799"/>
    <w:rsid w:val="00E0179D"/>
    <w:rsid w:val="00E025C9"/>
    <w:rsid w:val="00E02B40"/>
    <w:rsid w:val="00E04A4F"/>
    <w:rsid w:val="00E04B90"/>
    <w:rsid w:val="00E06128"/>
    <w:rsid w:val="00E0687A"/>
    <w:rsid w:val="00E07BF1"/>
    <w:rsid w:val="00E1196E"/>
    <w:rsid w:val="00E11E08"/>
    <w:rsid w:val="00E13EE1"/>
    <w:rsid w:val="00E14D39"/>
    <w:rsid w:val="00E151C4"/>
    <w:rsid w:val="00E1549F"/>
    <w:rsid w:val="00E155B2"/>
    <w:rsid w:val="00E155F1"/>
    <w:rsid w:val="00E1610C"/>
    <w:rsid w:val="00E16757"/>
    <w:rsid w:val="00E16FC4"/>
    <w:rsid w:val="00E177E6"/>
    <w:rsid w:val="00E17EB7"/>
    <w:rsid w:val="00E20538"/>
    <w:rsid w:val="00E212C2"/>
    <w:rsid w:val="00E2167F"/>
    <w:rsid w:val="00E222AC"/>
    <w:rsid w:val="00E22326"/>
    <w:rsid w:val="00E22FF6"/>
    <w:rsid w:val="00E243BF"/>
    <w:rsid w:val="00E24BE5"/>
    <w:rsid w:val="00E25A1D"/>
    <w:rsid w:val="00E30EB8"/>
    <w:rsid w:val="00E31FD0"/>
    <w:rsid w:val="00E3231C"/>
    <w:rsid w:val="00E323AB"/>
    <w:rsid w:val="00E32445"/>
    <w:rsid w:val="00E32535"/>
    <w:rsid w:val="00E327B7"/>
    <w:rsid w:val="00E33543"/>
    <w:rsid w:val="00E3356F"/>
    <w:rsid w:val="00E34253"/>
    <w:rsid w:val="00E35113"/>
    <w:rsid w:val="00E36515"/>
    <w:rsid w:val="00E371AE"/>
    <w:rsid w:val="00E37D60"/>
    <w:rsid w:val="00E37DEB"/>
    <w:rsid w:val="00E413C2"/>
    <w:rsid w:val="00E41A5E"/>
    <w:rsid w:val="00E43AD7"/>
    <w:rsid w:val="00E4443A"/>
    <w:rsid w:val="00E44777"/>
    <w:rsid w:val="00E44E51"/>
    <w:rsid w:val="00E45F19"/>
    <w:rsid w:val="00E46BD2"/>
    <w:rsid w:val="00E46BF9"/>
    <w:rsid w:val="00E50306"/>
    <w:rsid w:val="00E5202E"/>
    <w:rsid w:val="00E5483E"/>
    <w:rsid w:val="00E553C7"/>
    <w:rsid w:val="00E559B5"/>
    <w:rsid w:val="00E56028"/>
    <w:rsid w:val="00E568DC"/>
    <w:rsid w:val="00E5701D"/>
    <w:rsid w:val="00E57272"/>
    <w:rsid w:val="00E57540"/>
    <w:rsid w:val="00E577B9"/>
    <w:rsid w:val="00E57991"/>
    <w:rsid w:val="00E610ED"/>
    <w:rsid w:val="00E6143B"/>
    <w:rsid w:val="00E61950"/>
    <w:rsid w:val="00E62A08"/>
    <w:rsid w:val="00E63D2C"/>
    <w:rsid w:val="00E650CE"/>
    <w:rsid w:val="00E655CF"/>
    <w:rsid w:val="00E669C6"/>
    <w:rsid w:val="00E70BB4"/>
    <w:rsid w:val="00E7134F"/>
    <w:rsid w:val="00E71923"/>
    <w:rsid w:val="00E72411"/>
    <w:rsid w:val="00E72912"/>
    <w:rsid w:val="00E729BC"/>
    <w:rsid w:val="00E74878"/>
    <w:rsid w:val="00E74A7B"/>
    <w:rsid w:val="00E754C3"/>
    <w:rsid w:val="00E757DA"/>
    <w:rsid w:val="00E76157"/>
    <w:rsid w:val="00E77BDF"/>
    <w:rsid w:val="00E77EC9"/>
    <w:rsid w:val="00E80604"/>
    <w:rsid w:val="00E80D74"/>
    <w:rsid w:val="00E8107D"/>
    <w:rsid w:val="00E813AC"/>
    <w:rsid w:val="00E83596"/>
    <w:rsid w:val="00E83885"/>
    <w:rsid w:val="00E85367"/>
    <w:rsid w:val="00E85935"/>
    <w:rsid w:val="00E85B7A"/>
    <w:rsid w:val="00E85F7D"/>
    <w:rsid w:val="00E86310"/>
    <w:rsid w:val="00E877E4"/>
    <w:rsid w:val="00E91122"/>
    <w:rsid w:val="00E913EA"/>
    <w:rsid w:val="00E92300"/>
    <w:rsid w:val="00E93237"/>
    <w:rsid w:val="00E9445E"/>
    <w:rsid w:val="00E954CB"/>
    <w:rsid w:val="00E95677"/>
    <w:rsid w:val="00E96724"/>
    <w:rsid w:val="00E96BE3"/>
    <w:rsid w:val="00E970EB"/>
    <w:rsid w:val="00E97338"/>
    <w:rsid w:val="00EA1D6C"/>
    <w:rsid w:val="00EA222B"/>
    <w:rsid w:val="00EA28C0"/>
    <w:rsid w:val="00EA3199"/>
    <w:rsid w:val="00EA3691"/>
    <w:rsid w:val="00EA3B5F"/>
    <w:rsid w:val="00EA3C7B"/>
    <w:rsid w:val="00EA43F8"/>
    <w:rsid w:val="00EA499D"/>
    <w:rsid w:val="00EA5FB1"/>
    <w:rsid w:val="00EA7631"/>
    <w:rsid w:val="00EB020D"/>
    <w:rsid w:val="00EB1631"/>
    <w:rsid w:val="00EB1B71"/>
    <w:rsid w:val="00EB1C01"/>
    <w:rsid w:val="00EB2807"/>
    <w:rsid w:val="00EB3A03"/>
    <w:rsid w:val="00EB3C3F"/>
    <w:rsid w:val="00EB3E32"/>
    <w:rsid w:val="00EB3F22"/>
    <w:rsid w:val="00EB455E"/>
    <w:rsid w:val="00EB50AD"/>
    <w:rsid w:val="00EB5A2D"/>
    <w:rsid w:val="00EB78B3"/>
    <w:rsid w:val="00EC08C5"/>
    <w:rsid w:val="00EC0D42"/>
    <w:rsid w:val="00EC1F41"/>
    <w:rsid w:val="00EC2124"/>
    <w:rsid w:val="00EC2ED2"/>
    <w:rsid w:val="00EC34C3"/>
    <w:rsid w:val="00EC4BCC"/>
    <w:rsid w:val="00EC5025"/>
    <w:rsid w:val="00EC5DE9"/>
    <w:rsid w:val="00EC69ED"/>
    <w:rsid w:val="00EC6B17"/>
    <w:rsid w:val="00EC6E0A"/>
    <w:rsid w:val="00EC6FE9"/>
    <w:rsid w:val="00EC739E"/>
    <w:rsid w:val="00EC7BBD"/>
    <w:rsid w:val="00ED37F7"/>
    <w:rsid w:val="00ED3EDC"/>
    <w:rsid w:val="00ED3FB1"/>
    <w:rsid w:val="00ED49E9"/>
    <w:rsid w:val="00ED4A0B"/>
    <w:rsid w:val="00ED5FC5"/>
    <w:rsid w:val="00ED6160"/>
    <w:rsid w:val="00ED6CC4"/>
    <w:rsid w:val="00ED7A83"/>
    <w:rsid w:val="00EE0924"/>
    <w:rsid w:val="00EE1148"/>
    <w:rsid w:val="00EE388D"/>
    <w:rsid w:val="00EE3DCE"/>
    <w:rsid w:val="00EE4591"/>
    <w:rsid w:val="00EE47EE"/>
    <w:rsid w:val="00EE4AD3"/>
    <w:rsid w:val="00EE4B1D"/>
    <w:rsid w:val="00EE5291"/>
    <w:rsid w:val="00EE546A"/>
    <w:rsid w:val="00EE6E08"/>
    <w:rsid w:val="00EE740B"/>
    <w:rsid w:val="00EE7733"/>
    <w:rsid w:val="00EF1A42"/>
    <w:rsid w:val="00EF2D90"/>
    <w:rsid w:val="00EF3370"/>
    <w:rsid w:val="00EF3D3F"/>
    <w:rsid w:val="00EF3E03"/>
    <w:rsid w:val="00EF41BE"/>
    <w:rsid w:val="00EF48D9"/>
    <w:rsid w:val="00EF4C2E"/>
    <w:rsid w:val="00EF5097"/>
    <w:rsid w:val="00EF5AEA"/>
    <w:rsid w:val="00EF7F42"/>
    <w:rsid w:val="00F00EDC"/>
    <w:rsid w:val="00F017FB"/>
    <w:rsid w:val="00F01CA8"/>
    <w:rsid w:val="00F02D6F"/>
    <w:rsid w:val="00F03B4C"/>
    <w:rsid w:val="00F044BB"/>
    <w:rsid w:val="00F05B9F"/>
    <w:rsid w:val="00F069C9"/>
    <w:rsid w:val="00F07D98"/>
    <w:rsid w:val="00F104D9"/>
    <w:rsid w:val="00F1060C"/>
    <w:rsid w:val="00F10DC0"/>
    <w:rsid w:val="00F10F09"/>
    <w:rsid w:val="00F11AE8"/>
    <w:rsid w:val="00F14DC6"/>
    <w:rsid w:val="00F15D26"/>
    <w:rsid w:val="00F15F7A"/>
    <w:rsid w:val="00F161D5"/>
    <w:rsid w:val="00F20080"/>
    <w:rsid w:val="00F2020F"/>
    <w:rsid w:val="00F2046D"/>
    <w:rsid w:val="00F20928"/>
    <w:rsid w:val="00F20F30"/>
    <w:rsid w:val="00F21A1D"/>
    <w:rsid w:val="00F23B50"/>
    <w:rsid w:val="00F242CC"/>
    <w:rsid w:val="00F24CF3"/>
    <w:rsid w:val="00F251BE"/>
    <w:rsid w:val="00F2586D"/>
    <w:rsid w:val="00F25D6C"/>
    <w:rsid w:val="00F26610"/>
    <w:rsid w:val="00F30491"/>
    <w:rsid w:val="00F30E2F"/>
    <w:rsid w:val="00F31194"/>
    <w:rsid w:val="00F3165A"/>
    <w:rsid w:val="00F31A0B"/>
    <w:rsid w:val="00F32152"/>
    <w:rsid w:val="00F323DC"/>
    <w:rsid w:val="00F33618"/>
    <w:rsid w:val="00F34638"/>
    <w:rsid w:val="00F34842"/>
    <w:rsid w:val="00F3602D"/>
    <w:rsid w:val="00F36988"/>
    <w:rsid w:val="00F36C67"/>
    <w:rsid w:val="00F372FB"/>
    <w:rsid w:val="00F404DE"/>
    <w:rsid w:val="00F41EA1"/>
    <w:rsid w:val="00F45FD8"/>
    <w:rsid w:val="00F46678"/>
    <w:rsid w:val="00F46BB5"/>
    <w:rsid w:val="00F4746D"/>
    <w:rsid w:val="00F47558"/>
    <w:rsid w:val="00F51682"/>
    <w:rsid w:val="00F52085"/>
    <w:rsid w:val="00F52331"/>
    <w:rsid w:val="00F52380"/>
    <w:rsid w:val="00F52593"/>
    <w:rsid w:val="00F52D96"/>
    <w:rsid w:val="00F53371"/>
    <w:rsid w:val="00F5342D"/>
    <w:rsid w:val="00F54A67"/>
    <w:rsid w:val="00F54C6D"/>
    <w:rsid w:val="00F572CF"/>
    <w:rsid w:val="00F6001A"/>
    <w:rsid w:val="00F608D6"/>
    <w:rsid w:val="00F60A7C"/>
    <w:rsid w:val="00F60EEC"/>
    <w:rsid w:val="00F6116C"/>
    <w:rsid w:val="00F61A13"/>
    <w:rsid w:val="00F62A23"/>
    <w:rsid w:val="00F632B0"/>
    <w:rsid w:val="00F63440"/>
    <w:rsid w:val="00F63BBD"/>
    <w:rsid w:val="00F63DF5"/>
    <w:rsid w:val="00F6428A"/>
    <w:rsid w:val="00F644AF"/>
    <w:rsid w:val="00F64664"/>
    <w:rsid w:val="00F64B84"/>
    <w:rsid w:val="00F652C2"/>
    <w:rsid w:val="00F66192"/>
    <w:rsid w:val="00F66B92"/>
    <w:rsid w:val="00F67028"/>
    <w:rsid w:val="00F67766"/>
    <w:rsid w:val="00F7016A"/>
    <w:rsid w:val="00F703EA"/>
    <w:rsid w:val="00F705DA"/>
    <w:rsid w:val="00F70E29"/>
    <w:rsid w:val="00F70E73"/>
    <w:rsid w:val="00F71B08"/>
    <w:rsid w:val="00F7221A"/>
    <w:rsid w:val="00F730CE"/>
    <w:rsid w:val="00F745FB"/>
    <w:rsid w:val="00F74E91"/>
    <w:rsid w:val="00F7552D"/>
    <w:rsid w:val="00F75877"/>
    <w:rsid w:val="00F76291"/>
    <w:rsid w:val="00F76C1D"/>
    <w:rsid w:val="00F76C48"/>
    <w:rsid w:val="00F7782C"/>
    <w:rsid w:val="00F808A1"/>
    <w:rsid w:val="00F81786"/>
    <w:rsid w:val="00F8184B"/>
    <w:rsid w:val="00F8191B"/>
    <w:rsid w:val="00F81F78"/>
    <w:rsid w:val="00F8378A"/>
    <w:rsid w:val="00F83947"/>
    <w:rsid w:val="00F85387"/>
    <w:rsid w:val="00F85C13"/>
    <w:rsid w:val="00F85E0D"/>
    <w:rsid w:val="00F87557"/>
    <w:rsid w:val="00F87F43"/>
    <w:rsid w:val="00F93489"/>
    <w:rsid w:val="00F938A5"/>
    <w:rsid w:val="00F93C80"/>
    <w:rsid w:val="00F9511F"/>
    <w:rsid w:val="00F95BFE"/>
    <w:rsid w:val="00F96D2E"/>
    <w:rsid w:val="00F96EE0"/>
    <w:rsid w:val="00FA16C7"/>
    <w:rsid w:val="00FA1CB0"/>
    <w:rsid w:val="00FA32D3"/>
    <w:rsid w:val="00FA3804"/>
    <w:rsid w:val="00FA3909"/>
    <w:rsid w:val="00FA63F0"/>
    <w:rsid w:val="00FA6944"/>
    <w:rsid w:val="00FA7A63"/>
    <w:rsid w:val="00FB0C1E"/>
    <w:rsid w:val="00FB0FB8"/>
    <w:rsid w:val="00FB19A2"/>
    <w:rsid w:val="00FB2E00"/>
    <w:rsid w:val="00FB39D9"/>
    <w:rsid w:val="00FB40D4"/>
    <w:rsid w:val="00FB48EF"/>
    <w:rsid w:val="00FB4D85"/>
    <w:rsid w:val="00FB4E13"/>
    <w:rsid w:val="00FB4E85"/>
    <w:rsid w:val="00FB6161"/>
    <w:rsid w:val="00FB6747"/>
    <w:rsid w:val="00FB6AF6"/>
    <w:rsid w:val="00FB72BD"/>
    <w:rsid w:val="00FC0050"/>
    <w:rsid w:val="00FC1CE9"/>
    <w:rsid w:val="00FC2236"/>
    <w:rsid w:val="00FC225E"/>
    <w:rsid w:val="00FC3914"/>
    <w:rsid w:val="00FC410F"/>
    <w:rsid w:val="00FC42D6"/>
    <w:rsid w:val="00FC4680"/>
    <w:rsid w:val="00FC4ACB"/>
    <w:rsid w:val="00FC506A"/>
    <w:rsid w:val="00FC5E67"/>
    <w:rsid w:val="00FC723E"/>
    <w:rsid w:val="00FC76FB"/>
    <w:rsid w:val="00FD00E6"/>
    <w:rsid w:val="00FD012C"/>
    <w:rsid w:val="00FD0606"/>
    <w:rsid w:val="00FD08B3"/>
    <w:rsid w:val="00FD1061"/>
    <w:rsid w:val="00FD13B2"/>
    <w:rsid w:val="00FD16D3"/>
    <w:rsid w:val="00FD1D99"/>
    <w:rsid w:val="00FD1FFA"/>
    <w:rsid w:val="00FD30C2"/>
    <w:rsid w:val="00FD4A0B"/>
    <w:rsid w:val="00FD50B5"/>
    <w:rsid w:val="00FD524A"/>
    <w:rsid w:val="00FD54EB"/>
    <w:rsid w:val="00FD5C3D"/>
    <w:rsid w:val="00FD5D53"/>
    <w:rsid w:val="00FD6067"/>
    <w:rsid w:val="00FD64DA"/>
    <w:rsid w:val="00FD6E1F"/>
    <w:rsid w:val="00FE025A"/>
    <w:rsid w:val="00FE08AE"/>
    <w:rsid w:val="00FE0B9B"/>
    <w:rsid w:val="00FE1012"/>
    <w:rsid w:val="00FE12E4"/>
    <w:rsid w:val="00FE3F72"/>
    <w:rsid w:val="00FE4FEB"/>
    <w:rsid w:val="00FE5CDE"/>
    <w:rsid w:val="00FE5D54"/>
    <w:rsid w:val="00FE628D"/>
    <w:rsid w:val="00FE7909"/>
    <w:rsid w:val="00FF1476"/>
    <w:rsid w:val="00FF268C"/>
    <w:rsid w:val="00FF3148"/>
    <w:rsid w:val="00FF3C46"/>
    <w:rsid w:val="00FF5F20"/>
    <w:rsid w:val="00FF640C"/>
    <w:rsid w:val="00FF66E2"/>
    <w:rsid w:val="00FF7056"/>
    <w:rsid w:val="00FF71A6"/>
    <w:rsid w:val="00FF7F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f" fillcolor="white" stroke="f">
      <v:fill color="white" on="f"/>
      <v:stroke on="f"/>
    </o:shapedefaults>
    <o:shapelayout v:ext="edit">
      <o:idmap v:ext="edit" data="1"/>
    </o:shapelayout>
  </w:shapeDefaults>
  <w:decimalSymbol w:val="."/>
  <w:listSeparator w:val=","/>
  <w15:chartTrackingRefBased/>
  <w15:docId w15:val="{F927D87E-5449-4593-BE89-1581EC014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ind w:left="1440" w:firstLine="720"/>
      <w:jc w:val="both"/>
      <w:outlineLvl w:val="1"/>
    </w:pPr>
    <w:rPr>
      <w:b/>
      <w:b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b/>
      <w:bCs/>
      <w:caps/>
      <w:sz w:val="22"/>
      <w:szCs w:val="22"/>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jc w:val="center"/>
      <w:outlineLvl w:val="4"/>
    </w:pPr>
    <w:rPr>
      <w:rFonts w:ascii="Comic Sans MS" w:hAnsi="Comic Sans MS"/>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Footer">
    <w:name w:val="footer"/>
    <w:basedOn w:val="Normal"/>
    <w:link w:val="FooterChar"/>
    <w:uiPriority w:val="99"/>
    <w:pPr>
      <w:widowControl w:val="0"/>
      <w:tabs>
        <w:tab w:val="center" w:pos="4320"/>
        <w:tab w:val="right" w:pos="8640"/>
      </w:tabs>
    </w:pPr>
    <w:rPr>
      <w:sz w:val="20"/>
      <w:szCs w:val="20"/>
      <w:lang w:val="en-GB"/>
    </w:rPr>
  </w:style>
  <w:style w:type="character" w:styleId="Hyperlink">
    <w:name w:val="Hyperlink"/>
    <w:uiPriority w:val="99"/>
    <w:rPr>
      <w:color w:val="0000FF"/>
      <w:u w:val="single"/>
    </w:rPr>
  </w:style>
  <w:style w:type="paragraph" w:styleId="FootnoteText">
    <w:name w:val="footnote text"/>
    <w:basedOn w:val="Normal"/>
    <w:link w:val="FootnoteTextChar"/>
    <w:uiPriority w:val="99"/>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customStyle="1" w:styleId="font5">
    <w:name w:val="font5"/>
    <w:basedOn w:val="Normal"/>
    <w:pPr>
      <w:autoSpaceDE/>
      <w:autoSpaceDN/>
      <w:spacing w:before="100" w:beforeAutospacing="1" w:after="100" w:afterAutospacing="1"/>
    </w:pPr>
    <w:rPr>
      <w:rFonts w:ascii="Tahoma" w:eastAsia="Arial Unicode MS" w:hAnsi="Tahoma"/>
      <w:color w:val="000000"/>
      <w:sz w:val="16"/>
      <w:szCs w:val="16"/>
    </w:rPr>
  </w:style>
  <w:style w:type="paragraph" w:customStyle="1" w:styleId="font6">
    <w:name w:val="font6"/>
    <w:basedOn w:val="Normal"/>
    <w:pPr>
      <w:autoSpaceDE/>
      <w:autoSpaceDN/>
      <w:spacing w:before="100" w:beforeAutospacing="1" w:after="100" w:afterAutospacing="1"/>
    </w:pPr>
    <w:rPr>
      <w:rFonts w:ascii="Tahoma" w:eastAsia="Arial Unicode MS" w:hAnsi="Tahoma"/>
      <w:b/>
      <w:bCs/>
      <w:color w:val="000000"/>
      <w:sz w:val="16"/>
      <w:szCs w:val="16"/>
    </w:rPr>
  </w:style>
  <w:style w:type="paragraph" w:customStyle="1" w:styleId="xl24">
    <w:name w:val="xl24"/>
    <w:basedOn w:val="Normal"/>
    <w:pPr>
      <w:shd w:val="clear" w:color="auto" w:fill="FFFFFF"/>
      <w:autoSpaceDE/>
      <w:autoSpaceDN/>
      <w:spacing w:before="100" w:beforeAutospacing="1" w:after="100" w:afterAutospacing="1"/>
    </w:pPr>
    <w:rPr>
      <w:rFonts w:ascii="Arial" w:eastAsia="Arial Unicode MS" w:hAnsi="Arial"/>
      <w:sz w:val="18"/>
      <w:szCs w:val="18"/>
    </w:rPr>
  </w:style>
  <w:style w:type="paragraph" w:customStyle="1" w:styleId="xl25">
    <w:name w:val="xl25"/>
    <w:basedOn w:val="Normal"/>
    <w:pPr>
      <w:pBdr>
        <w:bottom w:val="single" w:sz="4" w:space="0" w:color="auto"/>
      </w:pBdr>
      <w:shd w:val="clear" w:color="auto" w:fill="FFFFFF"/>
      <w:autoSpaceDE/>
      <w:autoSpaceDN/>
      <w:spacing w:before="100" w:beforeAutospacing="1" w:after="100" w:afterAutospacing="1"/>
    </w:pPr>
    <w:rPr>
      <w:rFonts w:ascii="Arial" w:eastAsia="Arial Unicode MS" w:hAnsi="Arial"/>
      <w:sz w:val="18"/>
      <w:szCs w:val="18"/>
    </w:rPr>
  </w:style>
  <w:style w:type="paragraph" w:customStyle="1" w:styleId="xl26">
    <w:name w:val="xl26"/>
    <w:basedOn w:val="Normal"/>
    <w:pPr>
      <w:shd w:val="clear" w:color="auto" w:fill="FFFFFF"/>
      <w:autoSpaceDE/>
      <w:autoSpaceDN/>
      <w:spacing w:before="100" w:beforeAutospacing="1" w:after="100" w:afterAutospacing="1"/>
    </w:pPr>
    <w:rPr>
      <w:rFonts w:ascii="Arial" w:eastAsia="Arial Unicode MS" w:hAnsi="Arial"/>
      <w:color w:val="0000FF"/>
      <w:sz w:val="16"/>
      <w:szCs w:val="16"/>
    </w:rPr>
  </w:style>
  <w:style w:type="paragraph" w:customStyle="1" w:styleId="xl27">
    <w:name w:val="xl27"/>
    <w:basedOn w:val="Normal"/>
    <w:pPr>
      <w:shd w:val="clear" w:color="auto" w:fill="FFFFFF"/>
      <w:autoSpaceDE/>
      <w:autoSpaceDN/>
      <w:spacing w:before="100" w:beforeAutospacing="1" w:after="100" w:afterAutospacing="1"/>
    </w:pPr>
    <w:rPr>
      <w:rFonts w:ascii="Arial" w:eastAsia="Arial Unicode MS" w:hAnsi="Arial"/>
      <w:b/>
      <w:bCs/>
      <w:color w:val="0000FF"/>
      <w:sz w:val="16"/>
      <w:szCs w:val="16"/>
    </w:rPr>
  </w:style>
  <w:style w:type="paragraph" w:customStyle="1" w:styleId="xl28">
    <w:name w:val="xl28"/>
    <w:basedOn w:val="Normal"/>
    <w:pPr>
      <w:pBdr>
        <w:top w:val="single" w:sz="4" w:space="0" w:color="auto"/>
      </w:pBdr>
      <w:shd w:val="clear" w:color="auto" w:fill="FFFFFF"/>
      <w:autoSpaceDE/>
      <w:autoSpaceDN/>
      <w:spacing w:before="100" w:beforeAutospacing="1" w:after="100" w:afterAutospacing="1"/>
    </w:pPr>
    <w:rPr>
      <w:rFonts w:ascii="Arial" w:eastAsia="Arial Unicode MS" w:hAnsi="Arial"/>
      <w:sz w:val="18"/>
      <w:szCs w:val="18"/>
    </w:rPr>
  </w:style>
  <w:style w:type="paragraph" w:customStyle="1" w:styleId="xl29">
    <w:name w:val="xl29"/>
    <w:basedOn w:val="Normal"/>
    <w:pPr>
      <w:pBdr>
        <w:top w:val="single" w:sz="4" w:space="0" w:color="auto"/>
        <w:right w:val="single" w:sz="4" w:space="0" w:color="auto"/>
      </w:pBdr>
      <w:shd w:val="clear" w:color="auto" w:fill="FFFFFF"/>
      <w:autoSpaceDE/>
      <w:autoSpaceDN/>
      <w:spacing w:before="100" w:beforeAutospacing="1" w:after="100" w:afterAutospacing="1"/>
    </w:pPr>
    <w:rPr>
      <w:rFonts w:ascii="Arial" w:eastAsia="Arial Unicode MS" w:hAnsi="Arial"/>
      <w:sz w:val="18"/>
      <w:szCs w:val="18"/>
    </w:rPr>
  </w:style>
  <w:style w:type="paragraph" w:customStyle="1" w:styleId="xl30">
    <w:name w:val="xl30"/>
    <w:basedOn w:val="Normal"/>
    <w:pPr>
      <w:pBdr>
        <w:bottom w:val="single" w:sz="4"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1">
    <w:name w:val="xl31"/>
    <w:basedOn w:val="Normal"/>
    <w:pPr>
      <w:pBdr>
        <w:top w:val="single" w:sz="8" w:space="0" w:color="auto"/>
        <w:left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2">
    <w:name w:val="xl32"/>
    <w:basedOn w:val="Normal"/>
    <w:pPr>
      <w:pBdr>
        <w:top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3">
    <w:name w:val="xl33"/>
    <w:basedOn w:val="Normal"/>
    <w:pPr>
      <w:pBdr>
        <w:top w:val="single" w:sz="8" w:space="0" w:color="auto"/>
        <w:right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4">
    <w:name w:val="xl34"/>
    <w:basedOn w:val="Normal"/>
    <w:pPr>
      <w:pBdr>
        <w:left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5">
    <w:name w:val="xl35"/>
    <w:basedOn w:val="Normal"/>
    <w:pPr>
      <w:pBdr>
        <w:right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6">
    <w:name w:val="xl36"/>
    <w:basedOn w:val="Normal"/>
    <w:pPr>
      <w:pBdr>
        <w:left w:val="single" w:sz="8" w:space="0" w:color="auto"/>
        <w:bottom w:val="single" w:sz="4"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7">
    <w:name w:val="xl37"/>
    <w:basedOn w:val="Normal"/>
    <w:pPr>
      <w:pBdr>
        <w:top w:val="single" w:sz="4" w:space="0" w:color="auto"/>
        <w:left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8">
    <w:name w:val="xl38"/>
    <w:basedOn w:val="Normal"/>
    <w:pPr>
      <w:pBdr>
        <w:top w:val="single" w:sz="4" w:space="0" w:color="auto"/>
        <w:right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39">
    <w:name w:val="xl39"/>
    <w:basedOn w:val="Normal"/>
    <w:pPr>
      <w:pBdr>
        <w:left w:val="single" w:sz="8" w:space="0" w:color="auto"/>
        <w:bottom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40">
    <w:name w:val="xl40"/>
    <w:basedOn w:val="Normal"/>
    <w:pPr>
      <w:pBdr>
        <w:bottom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41">
    <w:name w:val="xl41"/>
    <w:basedOn w:val="Normal"/>
    <w:pPr>
      <w:pBdr>
        <w:bottom w:val="single" w:sz="8" w:space="0" w:color="auto"/>
        <w:right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42">
    <w:name w:val="xl42"/>
    <w:basedOn w:val="Normal"/>
    <w:pPr>
      <w:shd w:val="clear" w:color="auto" w:fill="FFFFFF"/>
      <w:autoSpaceDE/>
      <w:autoSpaceDN/>
      <w:spacing w:before="100" w:beforeAutospacing="1" w:after="100" w:afterAutospacing="1"/>
    </w:pPr>
    <w:rPr>
      <w:rFonts w:ascii="Arial" w:eastAsia="Arial Unicode MS" w:hAnsi="Arial"/>
      <w:sz w:val="16"/>
      <w:szCs w:val="16"/>
    </w:rPr>
  </w:style>
  <w:style w:type="paragraph" w:customStyle="1" w:styleId="xl43">
    <w:name w:val="xl43"/>
    <w:basedOn w:val="Normal"/>
    <w:pP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44">
    <w:name w:val="xl44"/>
    <w:basedOn w:val="Normal"/>
    <w:pPr>
      <w:shd w:val="clear" w:color="auto" w:fill="FFFFFF"/>
      <w:autoSpaceDE/>
      <w:autoSpaceDN/>
      <w:spacing w:before="100" w:beforeAutospacing="1" w:after="100" w:afterAutospacing="1"/>
    </w:pPr>
    <w:rPr>
      <w:rFonts w:ascii="Arial" w:eastAsia="Arial Unicode MS" w:hAnsi="Arial"/>
      <w:sz w:val="16"/>
      <w:szCs w:val="16"/>
    </w:rPr>
  </w:style>
  <w:style w:type="paragraph" w:customStyle="1" w:styleId="xl45">
    <w:name w:val="xl45"/>
    <w:basedOn w:val="Normal"/>
    <w:pP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46">
    <w:name w:val="xl46"/>
    <w:basedOn w:val="Normal"/>
    <w:pPr>
      <w:shd w:val="clear" w:color="auto" w:fill="FFFFFF"/>
      <w:autoSpaceDE/>
      <w:autoSpaceDN/>
      <w:spacing w:before="100" w:beforeAutospacing="1" w:after="100" w:afterAutospacing="1"/>
    </w:pPr>
    <w:rPr>
      <w:rFonts w:ascii="Arial" w:eastAsia="Arial Unicode MS" w:hAnsi="Arial"/>
      <w:sz w:val="16"/>
      <w:szCs w:val="16"/>
    </w:rPr>
  </w:style>
  <w:style w:type="paragraph" w:customStyle="1" w:styleId="xl47">
    <w:name w:val="xl47"/>
    <w:basedOn w:val="Normal"/>
    <w:pPr>
      <w:pBdr>
        <w:right w:val="single" w:sz="4" w:space="0" w:color="auto"/>
      </w:pBdr>
      <w:shd w:val="clear" w:color="auto" w:fill="FFFFFF"/>
      <w:autoSpaceDE/>
      <w:autoSpaceDN/>
      <w:spacing w:before="100" w:beforeAutospacing="1" w:after="100" w:afterAutospacing="1"/>
    </w:pPr>
    <w:rPr>
      <w:rFonts w:ascii="Arial" w:eastAsia="Arial Unicode MS" w:hAnsi="Arial"/>
      <w:sz w:val="16"/>
      <w:szCs w:val="16"/>
    </w:rPr>
  </w:style>
  <w:style w:type="paragraph" w:customStyle="1" w:styleId="xl48">
    <w:name w:val="xl48"/>
    <w:basedOn w:val="Normal"/>
    <w:pPr>
      <w:pBdr>
        <w:top w:val="single" w:sz="4" w:space="0" w:color="auto"/>
      </w:pBdr>
      <w:shd w:val="clear" w:color="auto" w:fill="FFFFFF"/>
      <w:autoSpaceDE/>
      <w:autoSpaceDN/>
      <w:spacing w:before="100" w:beforeAutospacing="1" w:after="100" w:afterAutospacing="1"/>
    </w:pPr>
    <w:rPr>
      <w:rFonts w:ascii="Arial" w:eastAsia="Arial Unicode MS" w:hAnsi="Arial"/>
      <w:b/>
      <w:bCs/>
      <w:color w:val="0000FF"/>
      <w:sz w:val="16"/>
      <w:szCs w:val="16"/>
    </w:rPr>
  </w:style>
  <w:style w:type="paragraph" w:customStyle="1" w:styleId="xl49">
    <w:name w:val="xl49"/>
    <w:basedOn w:val="Normal"/>
    <w:pPr>
      <w:pBdr>
        <w:right w:val="single" w:sz="4"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50">
    <w:name w:val="xl50"/>
    <w:basedOn w:val="Normal"/>
    <w:pPr>
      <w:pBdr>
        <w:top w:val="single" w:sz="4" w:space="0" w:color="auto"/>
        <w:right w:val="single" w:sz="4" w:space="0" w:color="auto"/>
      </w:pBdr>
      <w:shd w:val="clear" w:color="auto" w:fill="FFFFFF"/>
      <w:autoSpaceDE/>
      <w:autoSpaceDN/>
      <w:spacing w:before="100" w:beforeAutospacing="1" w:after="100" w:afterAutospacing="1"/>
      <w:jc w:val="center"/>
    </w:pPr>
    <w:rPr>
      <w:rFonts w:ascii="Arial" w:eastAsia="Arial Unicode MS" w:hAnsi="Arial"/>
      <w:b/>
      <w:bCs/>
      <w:color w:val="0000FF"/>
      <w:sz w:val="16"/>
      <w:szCs w:val="16"/>
    </w:rPr>
  </w:style>
  <w:style w:type="paragraph" w:customStyle="1" w:styleId="xl51">
    <w:name w:val="xl51"/>
    <w:basedOn w:val="Normal"/>
    <w:pPr>
      <w:pBdr>
        <w:top w:val="single" w:sz="4" w:space="0" w:color="auto"/>
        <w:right w:val="single" w:sz="4" w:space="0" w:color="auto"/>
      </w:pBdr>
      <w:autoSpaceDE/>
      <w:autoSpaceDN/>
      <w:spacing w:before="100" w:beforeAutospacing="1" w:after="100" w:afterAutospacing="1"/>
    </w:pPr>
    <w:rPr>
      <w:rFonts w:ascii="Arial" w:eastAsia="Arial Unicode MS" w:hAnsi="Arial"/>
      <w:color w:val="FFFFFF"/>
      <w:sz w:val="18"/>
      <w:szCs w:val="18"/>
    </w:rPr>
  </w:style>
  <w:style w:type="paragraph" w:customStyle="1" w:styleId="xl52">
    <w:name w:val="xl52"/>
    <w:basedOn w:val="Normal"/>
    <w:pPr>
      <w:pBdr>
        <w:right w:val="single" w:sz="4" w:space="0" w:color="auto"/>
      </w:pBdr>
      <w:autoSpaceDE/>
      <w:autoSpaceDN/>
      <w:spacing w:before="100" w:beforeAutospacing="1" w:after="100" w:afterAutospacing="1"/>
    </w:pPr>
    <w:rPr>
      <w:rFonts w:ascii="Arial" w:eastAsia="Arial Unicode MS" w:hAnsi="Arial"/>
      <w:color w:val="FFFFFF"/>
    </w:rPr>
  </w:style>
  <w:style w:type="paragraph" w:customStyle="1" w:styleId="xl53">
    <w:name w:val="xl53"/>
    <w:basedOn w:val="Normal"/>
    <w:pPr>
      <w:pBdr>
        <w:right w:val="single" w:sz="4" w:space="0" w:color="auto"/>
      </w:pBdr>
      <w:shd w:val="clear" w:color="auto" w:fill="FFFFFF"/>
      <w:autoSpaceDE/>
      <w:autoSpaceDN/>
      <w:spacing w:before="100" w:beforeAutospacing="1" w:after="100" w:afterAutospacing="1"/>
    </w:pPr>
    <w:rPr>
      <w:rFonts w:ascii="Arial" w:eastAsia="Arial Unicode MS" w:hAnsi="Arial"/>
      <w:sz w:val="16"/>
      <w:szCs w:val="16"/>
    </w:rPr>
  </w:style>
  <w:style w:type="paragraph" w:customStyle="1" w:styleId="xl54">
    <w:name w:val="xl54"/>
    <w:basedOn w:val="Normal"/>
    <w:pPr>
      <w:pBdr>
        <w:top w:val="single" w:sz="4" w:space="0" w:color="auto"/>
      </w:pBdr>
      <w:autoSpaceDE/>
      <w:autoSpaceDN/>
      <w:spacing w:before="100" w:beforeAutospacing="1" w:after="100" w:afterAutospacing="1"/>
    </w:pPr>
    <w:rPr>
      <w:rFonts w:ascii="Arial" w:eastAsia="Arial Unicode MS" w:hAnsi="Arial"/>
      <w:color w:val="FFFFFF"/>
      <w:sz w:val="18"/>
      <w:szCs w:val="18"/>
    </w:rPr>
  </w:style>
  <w:style w:type="paragraph" w:customStyle="1" w:styleId="xl55">
    <w:name w:val="xl55"/>
    <w:basedOn w:val="Normal"/>
    <w:pPr>
      <w:pBdr>
        <w:right w:val="single" w:sz="4" w:space="0" w:color="auto"/>
      </w:pBdr>
      <w:shd w:val="clear" w:color="auto" w:fill="FFFFFF"/>
      <w:autoSpaceDE/>
      <w:autoSpaceDN/>
      <w:spacing w:before="100" w:beforeAutospacing="1" w:after="100" w:afterAutospacing="1"/>
    </w:pPr>
    <w:rPr>
      <w:rFonts w:ascii="Arial" w:eastAsia="Arial Unicode MS" w:hAnsi="Arial"/>
      <w:sz w:val="18"/>
      <w:szCs w:val="18"/>
    </w:rPr>
  </w:style>
  <w:style w:type="paragraph" w:customStyle="1" w:styleId="xl56">
    <w:name w:val="xl56"/>
    <w:basedOn w:val="Normal"/>
    <w:pPr>
      <w:shd w:val="clear" w:color="auto" w:fill="FFFFFF"/>
      <w:autoSpaceDE/>
      <w:autoSpaceDN/>
      <w:spacing w:before="100" w:beforeAutospacing="1" w:after="100" w:afterAutospacing="1"/>
    </w:pPr>
    <w:rPr>
      <w:rFonts w:ascii="Arial" w:eastAsia="Arial Unicode MS" w:hAnsi="Arial"/>
      <w:b/>
      <w:bCs/>
      <w:color w:val="0000FF"/>
      <w:sz w:val="16"/>
      <w:szCs w:val="16"/>
    </w:rPr>
  </w:style>
  <w:style w:type="paragraph" w:customStyle="1" w:styleId="xl57">
    <w:name w:val="xl57"/>
    <w:basedOn w:val="Normal"/>
    <w:pPr>
      <w:pBdr>
        <w:right w:val="single" w:sz="4" w:space="0" w:color="auto"/>
      </w:pBdr>
      <w:shd w:val="clear" w:color="auto" w:fill="FFFFFF"/>
      <w:autoSpaceDE/>
      <w:autoSpaceDN/>
      <w:spacing w:before="100" w:beforeAutospacing="1" w:after="100" w:afterAutospacing="1"/>
    </w:pPr>
    <w:rPr>
      <w:rFonts w:ascii="Arial" w:eastAsia="Arial Unicode MS" w:hAnsi="Arial"/>
      <w:b/>
      <w:bCs/>
      <w:color w:val="0000FF"/>
      <w:sz w:val="16"/>
      <w:szCs w:val="16"/>
    </w:rPr>
  </w:style>
  <w:style w:type="paragraph" w:customStyle="1" w:styleId="xl58">
    <w:name w:val="xl58"/>
    <w:basedOn w:val="Normal"/>
    <w:pPr>
      <w:pBdr>
        <w:top w:val="single" w:sz="4" w:space="0" w:color="auto"/>
        <w:left w:val="single" w:sz="4" w:space="0" w:color="auto"/>
      </w:pBdr>
      <w:autoSpaceDE/>
      <w:autoSpaceDN/>
      <w:spacing w:before="100" w:beforeAutospacing="1" w:after="100" w:afterAutospacing="1"/>
    </w:pPr>
    <w:rPr>
      <w:rFonts w:ascii="Arial" w:eastAsia="Arial Unicode MS" w:hAnsi="Arial"/>
      <w:b/>
      <w:bCs/>
      <w:color w:val="FFFFFF"/>
      <w:sz w:val="16"/>
      <w:szCs w:val="16"/>
    </w:rPr>
  </w:style>
  <w:style w:type="paragraph" w:customStyle="1" w:styleId="xl59">
    <w:name w:val="xl59"/>
    <w:basedOn w:val="Normal"/>
    <w:pPr>
      <w:pBdr>
        <w:top w:val="single" w:sz="4" w:space="0" w:color="auto"/>
        <w:left w:val="single" w:sz="4" w:space="0" w:color="auto"/>
      </w:pBdr>
      <w:shd w:val="clear" w:color="auto" w:fill="FFFFFF"/>
      <w:autoSpaceDE/>
      <w:autoSpaceDN/>
      <w:spacing w:before="100" w:beforeAutospacing="1" w:after="100" w:afterAutospacing="1"/>
    </w:pPr>
    <w:rPr>
      <w:rFonts w:ascii="Arial" w:eastAsia="Arial Unicode MS" w:hAnsi="Arial"/>
      <w:sz w:val="18"/>
      <w:szCs w:val="18"/>
    </w:rPr>
  </w:style>
  <w:style w:type="paragraph" w:customStyle="1" w:styleId="xl60">
    <w:name w:val="xl60"/>
    <w:basedOn w:val="Normal"/>
    <w:pPr>
      <w:pBdr>
        <w:left w:val="single" w:sz="4" w:space="0" w:color="auto"/>
      </w:pBdr>
      <w:shd w:val="clear" w:color="auto" w:fill="FFFFFF"/>
      <w:autoSpaceDE/>
      <w:autoSpaceDN/>
      <w:spacing w:before="100" w:beforeAutospacing="1" w:after="100" w:afterAutospacing="1"/>
    </w:pPr>
    <w:rPr>
      <w:rFonts w:ascii="Arial" w:eastAsia="Arial Unicode MS" w:hAnsi="Arial"/>
      <w:sz w:val="16"/>
      <w:szCs w:val="16"/>
    </w:rPr>
  </w:style>
  <w:style w:type="paragraph" w:customStyle="1" w:styleId="xl61">
    <w:name w:val="xl61"/>
    <w:basedOn w:val="Normal"/>
    <w:pPr>
      <w:pBdr>
        <w:left w:val="single" w:sz="4"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62">
    <w:name w:val="xl62"/>
    <w:basedOn w:val="Normal"/>
    <w:pPr>
      <w:pBdr>
        <w:top w:val="single" w:sz="4" w:space="0" w:color="auto"/>
        <w:left w:val="single" w:sz="4" w:space="0" w:color="auto"/>
      </w:pBd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63">
    <w:name w:val="xl63"/>
    <w:basedOn w:val="Normal"/>
    <w:pPr>
      <w:autoSpaceDE/>
      <w:autoSpaceDN/>
      <w:spacing w:before="100" w:beforeAutospacing="1" w:after="100" w:afterAutospacing="1"/>
      <w:jc w:val="right"/>
    </w:pPr>
    <w:rPr>
      <w:rFonts w:ascii="Arial" w:eastAsia="Arial Unicode MS" w:hAnsi="Arial"/>
      <w:b/>
      <w:bCs/>
      <w:color w:val="FFFFFF"/>
      <w:sz w:val="16"/>
      <w:szCs w:val="16"/>
    </w:rPr>
  </w:style>
  <w:style w:type="paragraph" w:customStyle="1" w:styleId="xl64">
    <w:name w:val="xl64"/>
    <w:basedOn w:val="Normal"/>
    <w:pPr>
      <w:pBdr>
        <w:left w:val="single" w:sz="4" w:space="0" w:color="auto"/>
        <w:bottom w:val="single" w:sz="4" w:space="0" w:color="auto"/>
      </w:pBdr>
      <w:autoSpaceDE/>
      <w:autoSpaceDN/>
      <w:spacing w:before="100" w:beforeAutospacing="1" w:after="100" w:afterAutospacing="1"/>
      <w:jc w:val="right"/>
    </w:pPr>
    <w:rPr>
      <w:rFonts w:ascii="Arial" w:eastAsia="Arial Unicode MS" w:hAnsi="Arial"/>
      <w:b/>
      <w:bCs/>
      <w:color w:val="FFFFFF"/>
      <w:sz w:val="16"/>
      <w:szCs w:val="16"/>
    </w:rPr>
  </w:style>
  <w:style w:type="paragraph" w:customStyle="1" w:styleId="xl65">
    <w:name w:val="xl65"/>
    <w:basedOn w:val="Normal"/>
    <w:pPr>
      <w:pBdr>
        <w:bottom w:val="single" w:sz="4" w:space="0" w:color="auto"/>
      </w:pBdr>
      <w:autoSpaceDE/>
      <w:autoSpaceDN/>
      <w:spacing w:before="100" w:beforeAutospacing="1" w:after="100" w:afterAutospacing="1"/>
      <w:jc w:val="right"/>
    </w:pPr>
    <w:rPr>
      <w:rFonts w:ascii="Arial" w:eastAsia="Arial Unicode MS" w:hAnsi="Arial"/>
      <w:b/>
      <w:bCs/>
      <w:color w:val="FFFFFF"/>
      <w:sz w:val="16"/>
      <w:szCs w:val="16"/>
    </w:rPr>
  </w:style>
  <w:style w:type="paragraph" w:customStyle="1" w:styleId="xl66">
    <w:name w:val="xl66"/>
    <w:basedOn w:val="Normal"/>
    <w:pPr>
      <w:pBdr>
        <w:bottom w:val="single" w:sz="4" w:space="0" w:color="auto"/>
        <w:right w:val="single" w:sz="4" w:space="0" w:color="auto"/>
      </w:pBdr>
      <w:autoSpaceDE/>
      <w:autoSpaceDN/>
      <w:spacing w:before="100" w:beforeAutospacing="1" w:after="100" w:afterAutospacing="1"/>
      <w:jc w:val="right"/>
    </w:pPr>
    <w:rPr>
      <w:rFonts w:ascii="Arial" w:eastAsia="Arial Unicode MS" w:hAnsi="Arial"/>
      <w:b/>
      <w:bCs/>
      <w:color w:val="FFFFFF"/>
      <w:sz w:val="16"/>
      <w:szCs w:val="16"/>
    </w:rPr>
  </w:style>
  <w:style w:type="paragraph" w:customStyle="1" w:styleId="xl67">
    <w:name w:val="xl67"/>
    <w:basedOn w:val="Normal"/>
    <w:pPr>
      <w:pBdr>
        <w:left w:val="single" w:sz="4" w:space="0" w:color="auto"/>
      </w:pBdr>
      <w:autoSpaceDE/>
      <w:autoSpaceDN/>
      <w:spacing w:before="100" w:beforeAutospacing="1" w:after="100" w:afterAutospacing="1"/>
    </w:pPr>
    <w:rPr>
      <w:rFonts w:ascii="Arial" w:eastAsia="Arial Unicode MS" w:hAnsi="Arial"/>
      <w:color w:val="FFFFFF"/>
    </w:rPr>
  </w:style>
  <w:style w:type="paragraph" w:customStyle="1" w:styleId="xl68">
    <w:name w:val="xl68"/>
    <w:basedOn w:val="Normal"/>
    <w:pPr>
      <w:pBdr>
        <w:left w:val="single" w:sz="4" w:space="0" w:color="auto"/>
        <w:bottom w:val="single" w:sz="4" w:space="0" w:color="auto"/>
      </w:pBd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69">
    <w:name w:val="xl69"/>
    <w:basedOn w:val="Normal"/>
    <w:pPr>
      <w:pBdr>
        <w:bottom w:val="single" w:sz="4" w:space="0" w:color="auto"/>
      </w:pBd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70">
    <w:name w:val="xl70"/>
    <w:basedOn w:val="Normal"/>
    <w:pPr>
      <w:pBdr>
        <w:bottom w:val="single" w:sz="4" w:space="0" w:color="auto"/>
        <w:right w:val="single" w:sz="4" w:space="0" w:color="auto"/>
      </w:pBd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71">
    <w:name w:val="xl71"/>
    <w:basedOn w:val="Normal"/>
    <w:pP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72">
    <w:name w:val="xl72"/>
    <w:basedOn w:val="Normal"/>
    <w:pPr>
      <w:pBdr>
        <w:top w:val="single" w:sz="4" w:space="0" w:color="auto"/>
      </w:pBd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73">
    <w:name w:val="xl73"/>
    <w:basedOn w:val="Normal"/>
    <w:pPr>
      <w:pBdr>
        <w:bottom w:val="single" w:sz="4" w:space="0" w:color="auto"/>
      </w:pBdr>
      <w:shd w:val="clear" w:color="auto" w:fill="FFFFFF"/>
      <w:autoSpaceDE/>
      <w:autoSpaceDN/>
      <w:spacing w:before="100" w:beforeAutospacing="1" w:after="100" w:afterAutospacing="1"/>
    </w:pPr>
    <w:rPr>
      <w:rFonts w:ascii="Arial" w:eastAsia="Arial Unicode MS" w:hAnsi="Arial"/>
      <w:b/>
      <w:bCs/>
      <w:color w:val="0000FF"/>
      <w:sz w:val="16"/>
      <w:szCs w:val="16"/>
    </w:rPr>
  </w:style>
  <w:style w:type="paragraph" w:customStyle="1" w:styleId="xl74">
    <w:name w:val="xl74"/>
    <w:basedOn w:val="Normal"/>
    <w:pPr>
      <w:pBdr>
        <w:bottom w:val="single" w:sz="4" w:space="0" w:color="auto"/>
        <w:right w:val="single" w:sz="8" w:space="0" w:color="auto"/>
      </w:pBdr>
      <w:shd w:val="clear" w:color="auto" w:fill="FFFFFF"/>
      <w:autoSpaceDE/>
      <w:autoSpaceDN/>
      <w:spacing w:before="100" w:beforeAutospacing="1" w:after="100" w:afterAutospacing="1"/>
      <w:jc w:val="right"/>
    </w:pPr>
    <w:rPr>
      <w:rFonts w:ascii="Arial" w:eastAsia="Arial Unicode MS" w:hAnsi="Arial"/>
      <w:b/>
      <w:bCs/>
      <w:color w:val="0000FF"/>
      <w:sz w:val="16"/>
      <w:szCs w:val="16"/>
    </w:rPr>
  </w:style>
  <w:style w:type="paragraph" w:customStyle="1" w:styleId="xl75">
    <w:name w:val="xl75"/>
    <w:basedOn w:val="Normal"/>
    <w:pPr>
      <w:pBdr>
        <w:left w:val="single" w:sz="4" w:space="0" w:color="auto"/>
        <w:bottom w:val="single" w:sz="8" w:space="0" w:color="auto"/>
      </w:pBdr>
      <w:shd w:val="clear" w:color="auto" w:fill="FFFFFF"/>
      <w:autoSpaceDE/>
      <w:autoSpaceDN/>
      <w:spacing w:before="100" w:beforeAutospacing="1" w:after="100" w:afterAutospacing="1"/>
    </w:pPr>
    <w:rPr>
      <w:rFonts w:ascii="Arial Unicode MS" w:eastAsia="Arial Unicode MS" w:hAnsi="Arial Unicode MS"/>
    </w:rPr>
  </w:style>
  <w:style w:type="paragraph" w:customStyle="1" w:styleId="xl76">
    <w:name w:val="xl76"/>
    <w:basedOn w:val="Normal"/>
    <w:pPr>
      <w:pBdr>
        <w:bottom w:val="single" w:sz="8" w:space="0" w:color="auto"/>
        <w:right w:val="single" w:sz="4" w:space="0" w:color="auto"/>
      </w:pBdr>
      <w:shd w:val="clear" w:color="auto" w:fill="FFFFFF"/>
      <w:autoSpaceDE/>
      <w:autoSpaceDN/>
      <w:spacing w:before="100" w:beforeAutospacing="1" w:after="100" w:afterAutospacing="1"/>
    </w:pPr>
    <w:rPr>
      <w:rFonts w:ascii="Arial Unicode MS" w:eastAsia="Arial Unicode MS" w:hAnsi="Arial Unicode MS"/>
    </w:rPr>
  </w:style>
  <w:style w:type="character" w:styleId="Strong">
    <w:name w:val="Strong"/>
    <w:uiPriority w:val="22"/>
    <w:qFormat/>
    <w:rPr>
      <w:b/>
      <w:bCs/>
    </w:rPr>
  </w:style>
  <w:style w:type="character" w:customStyle="1" w:styleId="text">
    <w:name w:val="text"/>
    <w:basedOn w:val="DefaultParagraphFont"/>
  </w:style>
  <w:style w:type="paragraph" w:styleId="BodyTextIndent">
    <w:name w:val="Body Text Indent"/>
    <w:basedOn w:val="Normal"/>
    <w:pPr>
      <w:autoSpaceDE/>
      <w:autoSpaceDN/>
      <w:spacing w:after="120"/>
      <w:ind w:left="360"/>
    </w:pPr>
    <w:rPr>
      <w:lang w:val="en-GB"/>
    </w:rPr>
  </w:style>
  <w:style w:type="paragraph" w:styleId="PlainText">
    <w:name w:val="Plain Text"/>
    <w:basedOn w:val="Normal"/>
    <w:rsid w:val="000F54F4"/>
    <w:pPr>
      <w:autoSpaceDE/>
      <w:autoSpaceDN/>
    </w:pPr>
    <w:rPr>
      <w:rFonts w:ascii="Courier New" w:hAnsi="Courier New" w:cs="Courier New"/>
      <w:sz w:val="20"/>
      <w:szCs w:val="20"/>
      <w:lang w:val="fr-FR" w:eastAsia="fr-FR"/>
    </w:rPr>
  </w:style>
  <w:style w:type="table" w:styleId="TableGrid">
    <w:name w:val="Table Grid"/>
    <w:basedOn w:val="TableNormal"/>
    <w:rsid w:val="00D165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451A58"/>
    <w:rPr>
      <w:rFonts w:ascii="Tahoma" w:hAnsi="Tahoma"/>
      <w:sz w:val="16"/>
      <w:szCs w:val="16"/>
      <w:lang w:val="x-none" w:eastAsia="x-none"/>
    </w:rPr>
  </w:style>
  <w:style w:type="character" w:customStyle="1" w:styleId="BalloonTextChar">
    <w:name w:val="Balloon Text Char"/>
    <w:link w:val="BalloonText"/>
    <w:rsid w:val="00451A58"/>
    <w:rPr>
      <w:rFonts w:ascii="Tahoma" w:hAnsi="Tahoma" w:cs="Tahoma"/>
      <w:sz w:val="16"/>
      <w:szCs w:val="16"/>
    </w:rPr>
  </w:style>
  <w:style w:type="character" w:customStyle="1" w:styleId="bernard">
    <w:name w:val="bernard"/>
    <w:semiHidden/>
    <w:rsid w:val="008D16E0"/>
    <w:rPr>
      <w:rFonts w:ascii="Arial" w:hAnsi="Arial" w:cs="Arial"/>
      <w:color w:val="000080"/>
      <w:sz w:val="20"/>
      <w:szCs w:val="20"/>
    </w:rPr>
  </w:style>
  <w:style w:type="paragraph" w:styleId="ListParagraph">
    <w:name w:val="List Paragraph"/>
    <w:basedOn w:val="Normal"/>
    <w:uiPriority w:val="34"/>
    <w:qFormat/>
    <w:rsid w:val="005E5423"/>
    <w:pPr>
      <w:autoSpaceDE/>
      <w:autoSpaceDN/>
      <w:spacing w:after="200" w:line="276" w:lineRule="auto"/>
      <w:ind w:left="720"/>
    </w:pPr>
    <w:rPr>
      <w:rFonts w:ascii="Calibri" w:eastAsia="Calibri" w:hAnsi="Calibri"/>
      <w:sz w:val="22"/>
      <w:szCs w:val="22"/>
    </w:rPr>
  </w:style>
  <w:style w:type="character" w:customStyle="1" w:styleId="FooterChar">
    <w:name w:val="Footer Char"/>
    <w:link w:val="Footer"/>
    <w:uiPriority w:val="99"/>
    <w:rsid w:val="008F2549"/>
    <w:rPr>
      <w:lang w:val="en-GB" w:eastAsia="en-US"/>
    </w:rPr>
  </w:style>
  <w:style w:type="paragraph" w:styleId="NormalWeb">
    <w:name w:val="Normal (Web)"/>
    <w:basedOn w:val="Normal"/>
    <w:uiPriority w:val="99"/>
    <w:unhideWhenUsed/>
    <w:rsid w:val="00E11E08"/>
    <w:pPr>
      <w:autoSpaceDE/>
      <w:autoSpaceDN/>
      <w:spacing w:before="100" w:beforeAutospacing="1" w:after="100" w:afterAutospacing="1"/>
    </w:pPr>
    <w:rPr>
      <w:lang w:val="nl-BE" w:eastAsia="nl-BE"/>
    </w:rPr>
  </w:style>
  <w:style w:type="paragraph" w:styleId="Caption">
    <w:name w:val="caption"/>
    <w:basedOn w:val="Normal"/>
    <w:next w:val="Normal"/>
    <w:uiPriority w:val="35"/>
    <w:unhideWhenUsed/>
    <w:qFormat/>
    <w:rsid w:val="009246C8"/>
    <w:pPr>
      <w:autoSpaceDE/>
      <w:autoSpaceDN/>
      <w:spacing w:after="200"/>
    </w:pPr>
    <w:rPr>
      <w:rFonts w:ascii="Calibri" w:eastAsia="Calibri" w:hAnsi="Calibri"/>
      <w:b/>
      <w:bCs/>
      <w:color w:val="4F81BD"/>
      <w:sz w:val="18"/>
      <w:szCs w:val="18"/>
      <w:lang w:val="en-GB"/>
    </w:rPr>
  </w:style>
  <w:style w:type="character" w:customStyle="1" w:styleId="FootnoteTextChar">
    <w:name w:val="Footnote Text Char"/>
    <w:link w:val="FootnoteText"/>
    <w:uiPriority w:val="99"/>
    <w:semiHidden/>
    <w:rsid w:val="009246C8"/>
    <w:rPr>
      <w:lang w:val="en-US" w:eastAsia="en-US"/>
    </w:rPr>
  </w:style>
  <w:style w:type="paragraph" w:styleId="DocumentMap">
    <w:name w:val="Document Map"/>
    <w:basedOn w:val="Normal"/>
    <w:link w:val="DocumentMapChar"/>
    <w:rsid w:val="00104F7D"/>
    <w:rPr>
      <w:rFonts w:ascii="Tahoma" w:hAnsi="Tahoma"/>
      <w:sz w:val="16"/>
      <w:szCs w:val="16"/>
    </w:rPr>
  </w:style>
  <w:style w:type="character" w:customStyle="1" w:styleId="DocumentMapChar">
    <w:name w:val="Document Map Char"/>
    <w:link w:val="DocumentMap"/>
    <w:rsid w:val="00104F7D"/>
    <w:rPr>
      <w:rFonts w:ascii="Tahoma" w:hAnsi="Tahoma" w:cs="Tahoma"/>
      <w:sz w:val="16"/>
      <w:szCs w:val="16"/>
      <w:lang w:val="en-US" w:eastAsia="en-US"/>
    </w:rPr>
  </w:style>
  <w:style w:type="paragraph" w:styleId="EndnoteText">
    <w:name w:val="endnote text"/>
    <w:basedOn w:val="Normal"/>
    <w:link w:val="EndnoteTextChar"/>
    <w:rsid w:val="00477B24"/>
    <w:rPr>
      <w:sz w:val="20"/>
      <w:szCs w:val="20"/>
    </w:rPr>
  </w:style>
  <w:style w:type="character" w:customStyle="1" w:styleId="EndnoteTextChar">
    <w:name w:val="Endnote Text Char"/>
    <w:basedOn w:val="DefaultParagraphFont"/>
    <w:link w:val="EndnoteText"/>
    <w:rsid w:val="00477B24"/>
  </w:style>
  <w:style w:type="character" w:styleId="EndnoteReference">
    <w:name w:val="endnote reference"/>
    <w:rsid w:val="00477B24"/>
    <w:rPr>
      <w:vertAlign w:val="superscript"/>
    </w:rPr>
  </w:style>
  <w:style w:type="character" w:styleId="CommentReference">
    <w:name w:val="annotation reference"/>
    <w:rsid w:val="008441F9"/>
    <w:rPr>
      <w:sz w:val="16"/>
      <w:szCs w:val="16"/>
    </w:rPr>
  </w:style>
  <w:style w:type="paragraph" w:styleId="CommentText">
    <w:name w:val="annotation text"/>
    <w:basedOn w:val="Normal"/>
    <w:link w:val="CommentTextChar"/>
    <w:rsid w:val="008441F9"/>
    <w:rPr>
      <w:sz w:val="20"/>
      <w:szCs w:val="20"/>
    </w:rPr>
  </w:style>
  <w:style w:type="character" w:customStyle="1" w:styleId="CommentTextChar">
    <w:name w:val="Comment Text Char"/>
    <w:link w:val="CommentText"/>
    <w:rsid w:val="008441F9"/>
    <w:rPr>
      <w:lang w:val="en-US" w:eastAsia="en-US"/>
    </w:rPr>
  </w:style>
  <w:style w:type="paragraph" w:styleId="CommentSubject">
    <w:name w:val="annotation subject"/>
    <w:basedOn w:val="CommentText"/>
    <w:next w:val="CommentText"/>
    <w:link w:val="CommentSubjectChar"/>
    <w:rsid w:val="008441F9"/>
    <w:rPr>
      <w:b/>
      <w:bCs/>
    </w:rPr>
  </w:style>
  <w:style w:type="character" w:customStyle="1" w:styleId="CommentSubjectChar">
    <w:name w:val="Comment Subject Char"/>
    <w:link w:val="CommentSubject"/>
    <w:rsid w:val="008441F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088">
      <w:bodyDiv w:val="1"/>
      <w:marLeft w:val="0"/>
      <w:marRight w:val="0"/>
      <w:marTop w:val="0"/>
      <w:marBottom w:val="0"/>
      <w:divBdr>
        <w:top w:val="none" w:sz="0" w:space="0" w:color="auto"/>
        <w:left w:val="none" w:sz="0" w:space="0" w:color="auto"/>
        <w:bottom w:val="none" w:sz="0" w:space="0" w:color="auto"/>
        <w:right w:val="none" w:sz="0" w:space="0" w:color="auto"/>
      </w:divBdr>
    </w:div>
    <w:div w:id="11807795">
      <w:bodyDiv w:val="1"/>
      <w:marLeft w:val="0"/>
      <w:marRight w:val="0"/>
      <w:marTop w:val="0"/>
      <w:marBottom w:val="0"/>
      <w:divBdr>
        <w:top w:val="none" w:sz="0" w:space="0" w:color="auto"/>
        <w:left w:val="none" w:sz="0" w:space="0" w:color="auto"/>
        <w:bottom w:val="none" w:sz="0" w:space="0" w:color="auto"/>
        <w:right w:val="none" w:sz="0" w:space="0" w:color="auto"/>
      </w:divBdr>
    </w:div>
    <w:div w:id="148521087">
      <w:bodyDiv w:val="1"/>
      <w:marLeft w:val="0"/>
      <w:marRight w:val="0"/>
      <w:marTop w:val="0"/>
      <w:marBottom w:val="0"/>
      <w:divBdr>
        <w:top w:val="none" w:sz="0" w:space="0" w:color="auto"/>
        <w:left w:val="none" w:sz="0" w:space="0" w:color="auto"/>
        <w:bottom w:val="none" w:sz="0" w:space="0" w:color="auto"/>
        <w:right w:val="none" w:sz="0" w:space="0" w:color="auto"/>
      </w:divBdr>
    </w:div>
    <w:div w:id="205728049">
      <w:bodyDiv w:val="1"/>
      <w:marLeft w:val="0"/>
      <w:marRight w:val="0"/>
      <w:marTop w:val="0"/>
      <w:marBottom w:val="0"/>
      <w:divBdr>
        <w:top w:val="none" w:sz="0" w:space="0" w:color="auto"/>
        <w:left w:val="none" w:sz="0" w:space="0" w:color="auto"/>
        <w:bottom w:val="none" w:sz="0" w:space="0" w:color="auto"/>
        <w:right w:val="none" w:sz="0" w:space="0" w:color="auto"/>
      </w:divBdr>
    </w:div>
    <w:div w:id="223680195">
      <w:bodyDiv w:val="1"/>
      <w:marLeft w:val="0"/>
      <w:marRight w:val="0"/>
      <w:marTop w:val="0"/>
      <w:marBottom w:val="0"/>
      <w:divBdr>
        <w:top w:val="none" w:sz="0" w:space="0" w:color="auto"/>
        <w:left w:val="none" w:sz="0" w:space="0" w:color="auto"/>
        <w:bottom w:val="none" w:sz="0" w:space="0" w:color="auto"/>
        <w:right w:val="none" w:sz="0" w:space="0" w:color="auto"/>
      </w:divBdr>
    </w:div>
    <w:div w:id="228811153">
      <w:bodyDiv w:val="1"/>
      <w:marLeft w:val="0"/>
      <w:marRight w:val="0"/>
      <w:marTop w:val="0"/>
      <w:marBottom w:val="0"/>
      <w:divBdr>
        <w:top w:val="none" w:sz="0" w:space="0" w:color="auto"/>
        <w:left w:val="none" w:sz="0" w:space="0" w:color="auto"/>
        <w:bottom w:val="none" w:sz="0" w:space="0" w:color="auto"/>
        <w:right w:val="none" w:sz="0" w:space="0" w:color="auto"/>
      </w:divBdr>
    </w:div>
    <w:div w:id="244464110">
      <w:bodyDiv w:val="1"/>
      <w:marLeft w:val="0"/>
      <w:marRight w:val="0"/>
      <w:marTop w:val="0"/>
      <w:marBottom w:val="0"/>
      <w:divBdr>
        <w:top w:val="none" w:sz="0" w:space="0" w:color="auto"/>
        <w:left w:val="none" w:sz="0" w:space="0" w:color="auto"/>
        <w:bottom w:val="none" w:sz="0" w:space="0" w:color="auto"/>
        <w:right w:val="none" w:sz="0" w:space="0" w:color="auto"/>
      </w:divBdr>
    </w:div>
    <w:div w:id="248200883">
      <w:bodyDiv w:val="1"/>
      <w:marLeft w:val="0"/>
      <w:marRight w:val="0"/>
      <w:marTop w:val="0"/>
      <w:marBottom w:val="0"/>
      <w:divBdr>
        <w:top w:val="none" w:sz="0" w:space="0" w:color="auto"/>
        <w:left w:val="none" w:sz="0" w:space="0" w:color="auto"/>
        <w:bottom w:val="none" w:sz="0" w:space="0" w:color="auto"/>
        <w:right w:val="none" w:sz="0" w:space="0" w:color="auto"/>
      </w:divBdr>
    </w:div>
    <w:div w:id="248462325">
      <w:bodyDiv w:val="1"/>
      <w:marLeft w:val="0"/>
      <w:marRight w:val="0"/>
      <w:marTop w:val="0"/>
      <w:marBottom w:val="0"/>
      <w:divBdr>
        <w:top w:val="none" w:sz="0" w:space="0" w:color="auto"/>
        <w:left w:val="none" w:sz="0" w:space="0" w:color="auto"/>
        <w:bottom w:val="none" w:sz="0" w:space="0" w:color="auto"/>
        <w:right w:val="none" w:sz="0" w:space="0" w:color="auto"/>
      </w:divBdr>
    </w:div>
    <w:div w:id="253709864">
      <w:bodyDiv w:val="1"/>
      <w:marLeft w:val="0"/>
      <w:marRight w:val="0"/>
      <w:marTop w:val="0"/>
      <w:marBottom w:val="0"/>
      <w:divBdr>
        <w:top w:val="none" w:sz="0" w:space="0" w:color="auto"/>
        <w:left w:val="none" w:sz="0" w:space="0" w:color="auto"/>
        <w:bottom w:val="none" w:sz="0" w:space="0" w:color="auto"/>
        <w:right w:val="none" w:sz="0" w:space="0" w:color="auto"/>
      </w:divBdr>
    </w:div>
    <w:div w:id="291331728">
      <w:bodyDiv w:val="1"/>
      <w:marLeft w:val="0"/>
      <w:marRight w:val="0"/>
      <w:marTop w:val="0"/>
      <w:marBottom w:val="0"/>
      <w:divBdr>
        <w:top w:val="none" w:sz="0" w:space="0" w:color="auto"/>
        <w:left w:val="none" w:sz="0" w:space="0" w:color="auto"/>
        <w:bottom w:val="none" w:sz="0" w:space="0" w:color="auto"/>
        <w:right w:val="none" w:sz="0" w:space="0" w:color="auto"/>
      </w:divBdr>
    </w:div>
    <w:div w:id="322973802">
      <w:bodyDiv w:val="1"/>
      <w:marLeft w:val="0"/>
      <w:marRight w:val="0"/>
      <w:marTop w:val="0"/>
      <w:marBottom w:val="0"/>
      <w:divBdr>
        <w:top w:val="none" w:sz="0" w:space="0" w:color="auto"/>
        <w:left w:val="none" w:sz="0" w:space="0" w:color="auto"/>
        <w:bottom w:val="none" w:sz="0" w:space="0" w:color="auto"/>
        <w:right w:val="none" w:sz="0" w:space="0" w:color="auto"/>
      </w:divBdr>
    </w:div>
    <w:div w:id="347218254">
      <w:bodyDiv w:val="1"/>
      <w:marLeft w:val="0"/>
      <w:marRight w:val="0"/>
      <w:marTop w:val="0"/>
      <w:marBottom w:val="0"/>
      <w:divBdr>
        <w:top w:val="none" w:sz="0" w:space="0" w:color="auto"/>
        <w:left w:val="none" w:sz="0" w:space="0" w:color="auto"/>
        <w:bottom w:val="none" w:sz="0" w:space="0" w:color="auto"/>
        <w:right w:val="none" w:sz="0" w:space="0" w:color="auto"/>
      </w:divBdr>
      <w:divsChild>
        <w:div w:id="2064135576">
          <w:marLeft w:val="0"/>
          <w:marRight w:val="0"/>
          <w:marTop w:val="0"/>
          <w:marBottom w:val="0"/>
          <w:divBdr>
            <w:top w:val="none" w:sz="0" w:space="0" w:color="auto"/>
            <w:left w:val="none" w:sz="0" w:space="0" w:color="auto"/>
            <w:bottom w:val="none" w:sz="0" w:space="0" w:color="auto"/>
            <w:right w:val="none" w:sz="0" w:space="0" w:color="auto"/>
          </w:divBdr>
        </w:div>
      </w:divsChild>
    </w:div>
    <w:div w:id="350685564">
      <w:bodyDiv w:val="1"/>
      <w:marLeft w:val="0"/>
      <w:marRight w:val="0"/>
      <w:marTop w:val="0"/>
      <w:marBottom w:val="0"/>
      <w:divBdr>
        <w:top w:val="none" w:sz="0" w:space="0" w:color="auto"/>
        <w:left w:val="none" w:sz="0" w:space="0" w:color="auto"/>
        <w:bottom w:val="none" w:sz="0" w:space="0" w:color="auto"/>
        <w:right w:val="none" w:sz="0" w:space="0" w:color="auto"/>
      </w:divBdr>
    </w:div>
    <w:div w:id="389959734">
      <w:bodyDiv w:val="1"/>
      <w:marLeft w:val="0"/>
      <w:marRight w:val="0"/>
      <w:marTop w:val="0"/>
      <w:marBottom w:val="0"/>
      <w:divBdr>
        <w:top w:val="none" w:sz="0" w:space="0" w:color="auto"/>
        <w:left w:val="none" w:sz="0" w:space="0" w:color="auto"/>
        <w:bottom w:val="none" w:sz="0" w:space="0" w:color="auto"/>
        <w:right w:val="none" w:sz="0" w:space="0" w:color="auto"/>
      </w:divBdr>
    </w:div>
    <w:div w:id="392696824">
      <w:bodyDiv w:val="1"/>
      <w:marLeft w:val="0"/>
      <w:marRight w:val="0"/>
      <w:marTop w:val="0"/>
      <w:marBottom w:val="0"/>
      <w:divBdr>
        <w:top w:val="none" w:sz="0" w:space="0" w:color="auto"/>
        <w:left w:val="none" w:sz="0" w:space="0" w:color="auto"/>
        <w:bottom w:val="none" w:sz="0" w:space="0" w:color="auto"/>
        <w:right w:val="none" w:sz="0" w:space="0" w:color="auto"/>
      </w:divBdr>
    </w:div>
    <w:div w:id="451246806">
      <w:bodyDiv w:val="1"/>
      <w:marLeft w:val="0"/>
      <w:marRight w:val="0"/>
      <w:marTop w:val="0"/>
      <w:marBottom w:val="0"/>
      <w:divBdr>
        <w:top w:val="none" w:sz="0" w:space="0" w:color="auto"/>
        <w:left w:val="none" w:sz="0" w:space="0" w:color="auto"/>
        <w:bottom w:val="none" w:sz="0" w:space="0" w:color="auto"/>
        <w:right w:val="none" w:sz="0" w:space="0" w:color="auto"/>
      </w:divBdr>
    </w:div>
    <w:div w:id="493492855">
      <w:bodyDiv w:val="1"/>
      <w:marLeft w:val="0"/>
      <w:marRight w:val="0"/>
      <w:marTop w:val="0"/>
      <w:marBottom w:val="0"/>
      <w:divBdr>
        <w:top w:val="none" w:sz="0" w:space="0" w:color="auto"/>
        <w:left w:val="none" w:sz="0" w:space="0" w:color="auto"/>
        <w:bottom w:val="none" w:sz="0" w:space="0" w:color="auto"/>
        <w:right w:val="none" w:sz="0" w:space="0" w:color="auto"/>
      </w:divBdr>
    </w:div>
    <w:div w:id="524292097">
      <w:bodyDiv w:val="1"/>
      <w:marLeft w:val="0"/>
      <w:marRight w:val="0"/>
      <w:marTop w:val="0"/>
      <w:marBottom w:val="0"/>
      <w:divBdr>
        <w:top w:val="none" w:sz="0" w:space="0" w:color="auto"/>
        <w:left w:val="none" w:sz="0" w:space="0" w:color="auto"/>
        <w:bottom w:val="none" w:sz="0" w:space="0" w:color="auto"/>
        <w:right w:val="none" w:sz="0" w:space="0" w:color="auto"/>
      </w:divBdr>
    </w:div>
    <w:div w:id="552426266">
      <w:bodyDiv w:val="1"/>
      <w:marLeft w:val="0"/>
      <w:marRight w:val="0"/>
      <w:marTop w:val="0"/>
      <w:marBottom w:val="0"/>
      <w:divBdr>
        <w:top w:val="none" w:sz="0" w:space="0" w:color="auto"/>
        <w:left w:val="none" w:sz="0" w:space="0" w:color="auto"/>
        <w:bottom w:val="none" w:sz="0" w:space="0" w:color="auto"/>
        <w:right w:val="none" w:sz="0" w:space="0" w:color="auto"/>
      </w:divBdr>
    </w:div>
    <w:div w:id="561137181">
      <w:bodyDiv w:val="1"/>
      <w:marLeft w:val="0"/>
      <w:marRight w:val="0"/>
      <w:marTop w:val="0"/>
      <w:marBottom w:val="0"/>
      <w:divBdr>
        <w:top w:val="none" w:sz="0" w:space="0" w:color="auto"/>
        <w:left w:val="none" w:sz="0" w:space="0" w:color="auto"/>
        <w:bottom w:val="none" w:sz="0" w:space="0" w:color="auto"/>
        <w:right w:val="none" w:sz="0" w:space="0" w:color="auto"/>
      </w:divBdr>
    </w:div>
    <w:div w:id="611520154">
      <w:bodyDiv w:val="1"/>
      <w:marLeft w:val="0"/>
      <w:marRight w:val="0"/>
      <w:marTop w:val="0"/>
      <w:marBottom w:val="0"/>
      <w:divBdr>
        <w:top w:val="none" w:sz="0" w:space="0" w:color="auto"/>
        <w:left w:val="none" w:sz="0" w:space="0" w:color="auto"/>
        <w:bottom w:val="none" w:sz="0" w:space="0" w:color="auto"/>
        <w:right w:val="none" w:sz="0" w:space="0" w:color="auto"/>
      </w:divBdr>
    </w:div>
    <w:div w:id="612899759">
      <w:bodyDiv w:val="1"/>
      <w:marLeft w:val="0"/>
      <w:marRight w:val="0"/>
      <w:marTop w:val="0"/>
      <w:marBottom w:val="0"/>
      <w:divBdr>
        <w:top w:val="none" w:sz="0" w:space="0" w:color="auto"/>
        <w:left w:val="none" w:sz="0" w:space="0" w:color="auto"/>
        <w:bottom w:val="none" w:sz="0" w:space="0" w:color="auto"/>
        <w:right w:val="none" w:sz="0" w:space="0" w:color="auto"/>
      </w:divBdr>
    </w:div>
    <w:div w:id="626085218">
      <w:bodyDiv w:val="1"/>
      <w:marLeft w:val="0"/>
      <w:marRight w:val="0"/>
      <w:marTop w:val="0"/>
      <w:marBottom w:val="0"/>
      <w:divBdr>
        <w:top w:val="none" w:sz="0" w:space="0" w:color="auto"/>
        <w:left w:val="none" w:sz="0" w:space="0" w:color="auto"/>
        <w:bottom w:val="none" w:sz="0" w:space="0" w:color="auto"/>
        <w:right w:val="none" w:sz="0" w:space="0" w:color="auto"/>
      </w:divBdr>
    </w:div>
    <w:div w:id="657002440">
      <w:bodyDiv w:val="1"/>
      <w:marLeft w:val="0"/>
      <w:marRight w:val="0"/>
      <w:marTop w:val="0"/>
      <w:marBottom w:val="0"/>
      <w:divBdr>
        <w:top w:val="none" w:sz="0" w:space="0" w:color="auto"/>
        <w:left w:val="none" w:sz="0" w:space="0" w:color="auto"/>
        <w:bottom w:val="none" w:sz="0" w:space="0" w:color="auto"/>
        <w:right w:val="none" w:sz="0" w:space="0" w:color="auto"/>
      </w:divBdr>
    </w:div>
    <w:div w:id="780035377">
      <w:bodyDiv w:val="1"/>
      <w:marLeft w:val="0"/>
      <w:marRight w:val="0"/>
      <w:marTop w:val="0"/>
      <w:marBottom w:val="0"/>
      <w:divBdr>
        <w:top w:val="none" w:sz="0" w:space="0" w:color="auto"/>
        <w:left w:val="none" w:sz="0" w:space="0" w:color="auto"/>
        <w:bottom w:val="none" w:sz="0" w:space="0" w:color="auto"/>
        <w:right w:val="none" w:sz="0" w:space="0" w:color="auto"/>
      </w:divBdr>
    </w:div>
    <w:div w:id="791554520">
      <w:bodyDiv w:val="1"/>
      <w:marLeft w:val="0"/>
      <w:marRight w:val="0"/>
      <w:marTop w:val="0"/>
      <w:marBottom w:val="0"/>
      <w:divBdr>
        <w:top w:val="none" w:sz="0" w:space="0" w:color="auto"/>
        <w:left w:val="none" w:sz="0" w:space="0" w:color="auto"/>
        <w:bottom w:val="none" w:sz="0" w:space="0" w:color="auto"/>
        <w:right w:val="none" w:sz="0" w:space="0" w:color="auto"/>
      </w:divBdr>
    </w:div>
    <w:div w:id="794523168">
      <w:bodyDiv w:val="1"/>
      <w:marLeft w:val="0"/>
      <w:marRight w:val="0"/>
      <w:marTop w:val="0"/>
      <w:marBottom w:val="0"/>
      <w:divBdr>
        <w:top w:val="none" w:sz="0" w:space="0" w:color="auto"/>
        <w:left w:val="none" w:sz="0" w:space="0" w:color="auto"/>
        <w:bottom w:val="none" w:sz="0" w:space="0" w:color="auto"/>
        <w:right w:val="none" w:sz="0" w:space="0" w:color="auto"/>
      </w:divBdr>
    </w:div>
    <w:div w:id="810177885">
      <w:bodyDiv w:val="1"/>
      <w:marLeft w:val="0"/>
      <w:marRight w:val="0"/>
      <w:marTop w:val="0"/>
      <w:marBottom w:val="0"/>
      <w:divBdr>
        <w:top w:val="none" w:sz="0" w:space="0" w:color="auto"/>
        <w:left w:val="none" w:sz="0" w:space="0" w:color="auto"/>
        <w:bottom w:val="none" w:sz="0" w:space="0" w:color="auto"/>
        <w:right w:val="none" w:sz="0" w:space="0" w:color="auto"/>
      </w:divBdr>
    </w:div>
    <w:div w:id="814370226">
      <w:bodyDiv w:val="1"/>
      <w:marLeft w:val="0"/>
      <w:marRight w:val="0"/>
      <w:marTop w:val="0"/>
      <w:marBottom w:val="0"/>
      <w:divBdr>
        <w:top w:val="none" w:sz="0" w:space="0" w:color="auto"/>
        <w:left w:val="none" w:sz="0" w:space="0" w:color="auto"/>
        <w:bottom w:val="none" w:sz="0" w:space="0" w:color="auto"/>
        <w:right w:val="none" w:sz="0" w:space="0" w:color="auto"/>
      </w:divBdr>
    </w:div>
    <w:div w:id="855726711">
      <w:bodyDiv w:val="1"/>
      <w:marLeft w:val="0"/>
      <w:marRight w:val="0"/>
      <w:marTop w:val="0"/>
      <w:marBottom w:val="0"/>
      <w:divBdr>
        <w:top w:val="none" w:sz="0" w:space="0" w:color="auto"/>
        <w:left w:val="none" w:sz="0" w:space="0" w:color="auto"/>
        <w:bottom w:val="none" w:sz="0" w:space="0" w:color="auto"/>
        <w:right w:val="none" w:sz="0" w:space="0" w:color="auto"/>
      </w:divBdr>
    </w:div>
    <w:div w:id="887571006">
      <w:bodyDiv w:val="1"/>
      <w:marLeft w:val="0"/>
      <w:marRight w:val="0"/>
      <w:marTop w:val="0"/>
      <w:marBottom w:val="0"/>
      <w:divBdr>
        <w:top w:val="none" w:sz="0" w:space="0" w:color="auto"/>
        <w:left w:val="none" w:sz="0" w:space="0" w:color="auto"/>
        <w:bottom w:val="none" w:sz="0" w:space="0" w:color="auto"/>
        <w:right w:val="none" w:sz="0" w:space="0" w:color="auto"/>
      </w:divBdr>
    </w:div>
    <w:div w:id="914899821">
      <w:bodyDiv w:val="1"/>
      <w:marLeft w:val="0"/>
      <w:marRight w:val="0"/>
      <w:marTop w:val="0"/>
      <w:marBottom w:val="0"/>
      <w:divBdr>
        <w:top w:val="none" w:sz="0" w:space="0" w:color="auto"/>
        <w:left w:val="none" w:sz="0" w:space="0" w:color="auto"/>
        <w:bottom w:val="none" w:sz="0" w:space="0" w:color="auto"/>
        <w:right w:val="none" w:sz="0" w:space="0" w:color="auto"/>
      </w:divBdr>
    </w:div>
    <w:div w:id="943731241">
      <w:bodyDiv w:val="1"/>
      <w:marLeft w:val="0"/>
      <w:marRight w:val="0"/>
      <w:marTop w:val="0"/>
      <w:marBottom w:val="0"/>
      <w:divBdr>
        <w:top w:val="none" w:sz="0" w:space="0" w:color="auto"/>
        <w:left w:val="none" w:sz="0" w:space="0" w:color="auto"/>
        <w:bottom w:val="none" w:sz="0" w:space="0" w:color="auto"/>
        <w:right w:val="none" w:sz="0" w:space="0" w:color="auto"/>
      </w:divBdr>
    </w:div>
    <w:div w:id="982781878">
      <w:bodyDiv w:val="1"/>
      <w:marLeft w:val="0"/>
      <w:marRight w:val="0"/>
      <w:marTop w:val="0"/>
      <w:marBottom w:val="0"/>
      <w:divBdr>
        <w:top w:val="none" w:sz="0" w:space="0" w:color="auto"/>
        <w:left w:val="none" w:sz="0" w:space="0" w:color="auto"/>
        <w:bottom w:val="none" w:sz="0" w:space="0" w:color="auto"/>
        <w:right w:val="none" w:sz="0" w:space="0" w:color="auto"/>
      </w:divBdr>
    </w:div>
    <w:div w:id="1072310951">
      <w:bodyDiv w:val="1"/>
      <w:marLeft w:val="0"/>
      <w:marRight w:val="0"/>
      <w:marTop w:val="0"/>
      <w:marBottom w:val="0"/>
      <w:divBdr>
        <w:top w:val="none" w:sz="0" w:space="0" w:color="auto"/>
        <w:left w:val="none" w:sz="0" w:space="0" w:color="auto"/>
        <w:bottom w:val="none" w:sz="0" w:space="0" w:color="auto"/>
        <w:right w:val="none" w:sz="0" w:space="0" w:color="auto"/>
      </w:divBdr>
    </w:div>
    <w:div w:id="1076391821">
      <w:bodyDiv w:val="1"/>
      <w:marLeft w:val="0"/>
      <w:marRight w:val="0"/>
      <w:marTop w:val="0"/>
      <w:marBottom w:val="0"/>
      <w:divBdr>
        <w:top w:val="none" w:sz="0" w:space="0" w:color="auto"/>
        <w:left w:val="none" w:sz="0" w:space="0" w:color="auto"/>
        <w:bottom w:val="none" w:sz="0" w:space="0" w:color="auto"/>
        <w:right w:val="none" w:sz="0" w:space="0" w:color="auto"/>
      </w:divBdr>
    </w:div>
    <w:div w:id="1113745964">
      <w:bodyDiv w:val="1"/>
      <w:marLeft w:val="0"/>
      <w:marRight w:val="0"/>
      <w:marTop w:val="0"/>
      <w:marBottom w:val="0"/>
      <w:divBdr>
        <w:top w:val="none" w:sz="0" w:space="0" w:color="auto"/>
        <w:left w:val="none" w:sz="0" w:space="0" w:color="auto"/>
        <w:bottom w:val="none" w:sz="0" w:space="0" w:color="auto"/>
        <w:right w:val="none" w:sz="0" w:space="0" w:color="auto"/>
      </w:divBdr>
    </w:div>
    <w:div w:id="1150056531">
      <w:bodyDiv w:val="1"/>
      <w:marLeft w:val="0"/>
      <w:marRight w:val="0"/>
      <w:marTop w:val="0"/>
      <w:marBottom w:val="0"/>
      <w:divBdr>
        <w:top w:val="none" w:sz="0" w:space="0" w:color="auto"/>
        <w:left w:val="none" w:sz="0" w:space="0" w:color="auto"/>
        <w:bottom w:val="none" w:sz="0" w:space="0" w:color="auto"/>
        <w:right w:val="none" w:sz="0" w:space="0" w:color="auto"/>
      </w:divBdr>
    </w:div>
    <w:div w:id="1237058017">
      <w:bodyDiv w:val="1"/>
      <w:marLeft w:val="0"/>
      <w:marRight w:val="0"/>
      <w:marTop w:val="0"/>
      <w:marBottom w:val="0"/>
      <w:divBdr>
        <w:top w:val="none" w:sz="0" w:space="0" w:color="auto"/>
        <w:left w:val="none" w:sz="0" w:space="0" w:color="auto"/>
        <w:bottom w:val="none" w:sz="0" w:space="0" w:color="auto"/>
        <w:right w:val="none" w:sz="0" w:space="0" w:color="auto"/>
      </w:divBdr>
    </w:div>
    <w:div w:id="1243949740">
      <w:bodyDiv w:val="1"/>
      <w:marLeft w:val="0"/>
      <w:marRight w:val="0"/>
      <w:marTop w:val="0"/>
      <w:marBottom w:val="0"/>
      <w:divBdr>
        <w:top w:val="none" w:sz="0" w:space="0" w:color="auto"/>
        <w:left w:val="none" w:sz="0" w:space="0" w:color="auto"/>
        <w:bottom w:val="none" w:sz="0" w:space="0" w:color="auto"/>
        <w:right w:val="none" w:sz="0" w:space="0" w:color="auto"/>
      </w:divBdr>
    </w:div>
    <w:div w:id="1312639433">
      <w:bodyDiv w:val="1"/>
      <w:marLeft w:val="0"/>
      <w:marRight w:val="0"/>
      <w:marTop w:val="0"/>
      <w:marBottom w:val="0"/>
      <w:divBdr>
        <w:top w:val="none" w:sz="0" w:space="0" w:color="auto"/>
        <w:left w:val="none" w:sz="0" w:space="0" w:color="auto"/>
        <w:bottom w:val="none" w:sz="0" w:space="0" w:color="auto"/>
        <w:right w:val="none" w:sz="0" w:space="0" w:color="auto"/>
      </w:divBdr>
    </w:div>
    <w:div w:id="1334532794">
      <w:bodyDiv w:val="1"/>
      <w:marLeft w:val="0"/>
      <w:marRight w:val="0"/>
      <w:marTop w:val="0"/>
      <w:marBottom w:val="0"/>
      <w:divBdr>
        <w:top w:val="none" w:sz="0" w:space="0" w:color="auto"/>
        <w:left w:val="none" w:sz="0" w:space="0" w:color="auto"/>
        <w:bottom w:val="none" w:sz="0" w:space="0" w:color="auto"/>
        <w:right w:val="none" w:sz="0" w:space="0" w:color="auto"/>
      </w:divBdr>
    </w:div>
    <w:div w:id="1334841624">
      <w:bodyDiv w:val="1"/>
      <w:marLeft w:val="0"/>
      <w:marRight w:val="0"/>
      <w:marTop w:val="0"/>
      <w:marBottom w:val="0"/>
      <w:divBdr>
        <w:top w:val="none" w:sz="0" w:space="0" w:color="auto"/>
        <w:left w:val="none" w:sz="0" w:space="0" w:color="auto"/>
        <w:bottom w:val="none" w:sz="0" w:space="0" w:color="auto"/>
        <w:right w:val="none" w:sz="0" w:space="0" w:color="auto"/>
      </w:divBdr>
    </w:div>
    <w:div w:id="1338845746">
      <w:bodyDiv w:val="1"/>
      <w:marLeft w:val="0"/>
      <w:marRight w:val="0"/>
      <w:marTop w:val="0"/>
      <w:marBottom w:val="0"/>
      <w:divBdr>
        <w:top w:val="none" w:sz="0" w:space="0" w:color="auto"/>
        <w:left w:val="none" w:sz="0" w:space="0" w:color="auto"/>
        <w:bottom w:val="none" w:sz="0" w:space="0" w:color="auto"/>
        <w:right w:val="none" w:sz="0" w:space="0" w:color="auto"/>
      </w:divBdr>
    </w:div>
    <w:div w:id="1375932930">
      <w:bodyDiv w:val="1"/>
      <w:marLeft w:val="0"/>
      <w:marRight w:val="0"/>
      <w:marTop w:val="0"/>
      <w:marBottom w:val="0"/>
      <w:divBdr>
        <w:top w:val="none" w:sz="0" w:space="0" w:color="auto"/>
        <w:left w:val="none" w:sz="0" w:space="0" w:color="auto"/>
        <w:bottom w:val="none" w:sz="0" w:space="0" w:color="auto"/>
        <w:right w:val="none" w:sz="0" w:space="0" w:color="auto"/>
      </w:divBdr>
    </w:div>
    <w:div w:id="1411737517">
      <w:bodyDiv w:val="1"/>
      <w:marLeft w:val="0"/>
      <w:marRight w:val="0"/>
      <w:marTop w:val="0"/>
      <w:marBottom w:val="0"/>
      <w:divBdr>
        <w:top w:val="none" w:sz="0" w:space="0" w:color="auto"/>
        <w:left w:val="none" w:sz="0" w:space="0" w:color="auto"/>
        <w:bottom w:val="none" w:sz="0" w:space="0" w:color="auto"/>
        <w:right w:val="none" w:sz="0" w:space="0" w:color="auto"/>
      </w:divBdr>
    </w:div>
    <w:div w:id="1426345161">
      <w:bodyDiv w:val="1"/>
      <w:marLeft w:val="0"/>
      <w:marRight w:val="0"/>
      <w:marTop w:val="0"/>
      <w:marBottom w:val="0"/>
      <w:divBdr>
        <w:top w:val="none" w:sz="0" w:space="0" w:color="auto"/>
        <w:left w:val="none" w:sz="0" w:space="0" w:color="auto"/>
        <w:bottom w:val="none" w:sz="0" w:space="0" w:color="auto"/>
        <w:right w:val="none" w:sz="0" w:space="0" w:color="auto"/>
      </w:divBdr>
    </w:div>
    <w:div w:id="1427263689">
      <w:bodyDiv w:val="1"/>
      <w:marLeft w:val="0"/>
      <w:marRight w:val="0"/>
      <w:marTop w:val="0"/>
      <w:marBottom w:val="0"/>
      <w:divBdr>
        <w:top w:val="none" w:sz="0" w:space="0" w:color="auto"/>
        <w:left w:val="none" w:sz="0" w:space="0" w:color="auto"/>
        <w:bottom w:val="none" w:sz="0" w:space="0" w:color="auto"/>
        <w:right w:val="none" w:sz="0" w:space="0" w:color="auto"/>
      </w:divBdr>
    </w:div>
    <w:div w:id="1591239004">
      <w:bodyDiv w:val="1"/>
      <w:marLeft w:val="0"/>
      <w:marRight w:val="0"/>
      <w:marTop w:val="0"/>
      <w:marBottom w:val="0"/>
      <w:divBdr>
        <w:top w:val="none" w:sz="0" w:space="0" w:color="auto"/>
        <w:left w:val="none" w:sz="0" w:space="0" w:color="auto"/>
        <w:bottom w:val="none" w:sz="0" w:space="0" w:color="auto"/>
        <w:right w:val="none" w:sz="0" w:space="0" w:color="auto"/>
      </w:divBdr>
    </w:div>
    <w:div w:id="1680502688">
      <w:bodyDiv w:val="1"/>
      <w:marLeft w:val="0"/>
      <w:marRight w:val="0"/>
      <w:marTop w:val="0"/>
      <w:marBottom w:val="0"/>
      <w:divBdr>
        <w:top w:val="none" w:sz="0" w:space="0" w:color="auto"/>
        <w:left w:val="none" w:sz="0" w:space="0" w:color="auto"/>
        <w:bottom w:val="none" w:sz="0" w:space="0" w:color="auto"/>
        <w:right w:val="none" w:sz="0" w:space="0" w:color="auto"/>
      </w:divBdr>
    </w:div>
    <w:div w:id="1701321438">
      <w:bodyDiv w:val="1"/>
      <w:marLeft w:val="0"/>
      <w:marRight w:val="0"/>
      <w:marTop w:val="0"/>
      <w:marBottom w:val="0"/>
      <w:divBdr>
        <w:top w:val="none" w:sz="0" w:space="0" w:color="auto"/>
        <w:left w:val="none" w:sz="0" w:space="0" w:color="auto"/>
        <w:bottom w:val="none" w:sz="0" w:space="0" w:color="auto"/>
        <w:right w:val="none" w:sz="0" w:space="0" w:color="auto"/>
      </w:divBdr>
    </w:div>
    <w:div w:id="1811284669">
      <w:bodyDiv w:val="1"/>
      <w:marLeft w:val="0"/>
      <w:marRight w:val="0"/>
      <w:marTop w:val="0"/>
      <w:marBottom w:val="0"/>
      <w:divBdr>
        <w:top w:val="none" w:sz="0" w:space="0" w:color="auto"/>
        <w:left w:val="none" w:sz="0" w:space="0" w:color="auto"/>
        <w:bottom w:val="none" w:sz="0" w:space="0" w:color="auto"/>
        <w:right w:val="none" w:sz="0" w:space="0" w:color="auto"/>
      </w:divBdr>
    </w:div>
    <w:div w:id="1871910911">
      <w:bodyDiv w:val="1"/>
      <w:marLeft w:val="0"/>
      <w:marRight w:val="0"/>
      <w:marTop w:val="0"/>
      <w:marBottom w:val="0"/>
      <w:divBdr>
        <w:top w:val="none" w:sz="0" w:space="0" w:color="auto"/>
        <w:left w:val="none" w:sz="0" w:space="0" w:color="auto"/>
        <w:bottom w:val="none" w:sz="0" w:space="0" w:color="auto"/>
        <w:right w:val="none" w:sz="0" w:space="0" w:color="auto"/>
      </w:divBdr>
    </w:div>
    <w:div w:id="1882551422">
      <w:bodyDiv w:val="1"/>
      <w:marLeft w:val="0"/>
      <w:marRight w:val="0"/>
      <w:marTop w:val="0"/>
      <w:marBottom w:val="0"/>
      <w:divBdr>
        <w:top w:val="none" w:sz="0" w:space="0" w:color="auto"/>
        <w:left w:val="none" w:sz="0" w:space="0" w:color="auto"/>
        <w:bottom w:val="none" w:sz="0" w:space="0" w:color="auto"/>
        <w:right w:val="none" w:sz="0" w:space="0" w:color="auto"/>
      </w:divBdr>
    </w:div>
    <w:div w:id="2024168139">
      <w:bodyDiv w:val="1"/>
      <w:marLeft w:val="0"/>
      <w:marRight w:val="0"/>
      <w:marTop w:val="0"/>
      <w:marBottom w:val="0"/>
      <w:divBdr>
        <w:top w:val="none" w:sz="0" w:space="0" w:color="auto"/>
        <w:left w:val="none" w:sz="0" w:space="0" w:color="auto"/>
        <w:bottom w:val="none" w:sz="0" w:space="0" w:color="auto"/>
        <w:right w:val="none" w:sz="0" w:space="0" w:color="auto"/>
      </w:divBdr>
    </w:div>
    <w:div w:id="2068335164">
      <w:bodyDiv w:val="1"/>
      <w:marLeft w:val="0"/>
      <w:marRight w:val="0"/>
      <w:marTop w:val="0"/>
      <w:marBottom w:val="0"/>
      <w:divBdr>
        <w:top w:val="none" w:sz="0" w:space="0" w:color="auto"/>
        <w:left w:val="none" w:sz="0" w:space="0" w:color="auto"/>
        <w:bottom w:val="none" w:sz="0" w:space="0" w:color="auto"/>
        <w:right w:val="none" w:sz="0" w:space="0" w:color="auto"/>
      </w:divBdr>
    </w:div>
    <w:div w:id="2097432361">
      <w:bodyDiv w:val="1"/>
      <w:marLeft w:val="0"/>
      <w:marRight w:val="0"/>
      <w:marTop w:val="0"/>
      <w:marBottom w:val="0"/>
      <w:divBdr>
        <w:top w:val="none" w:sz="0" w:space="0" w:color="auto"/>
        <w:left w:val="none" w:sz="0" w:space="0" w:color="auto"/>
        <w:bottom w:val="none" w:sz="0" w:space="0" w:color="auto"/>
        <w:right w:val="none" w:sz="0" w:space="0" w:color="auto"/>
      </w:divBdr>
    </w:div>
    <w:div w:id="2102603167">
      <w:bodyDiv w:val="1"/>
      <w:marLeft w:val="0"/>
      <w:marRight w:val="0"/>
      <w:marTop w:val="0"/>
      <w:marBottom w:val="0"/>
      <w:divBdr>
        <w:top w:val="none" w:sz="0" w:space="0" w:color="auto"/>
        <w:left w:val="none" w:sz="0" w:space="0" w:color="auto"/>
        <w:bottom w:val="none" w:sz="0" w:space="0" w:color="auto"/>
        <w:right w:val="none" w:sz="0" w:space="0" w:color="auto"/>
      </w:divBdr>
    </w:div>
    <w:div w:id="2111464028">
      <w:bodyDiv w:val="1"/>
      <w:marLeft w:val="0"/>
      <w:marRight w:val="0"/>
      <w:marTop w:val="0"/>
      <w:marBottom w:val="0"/>
      <w:divBdr>
        <w:top w:val="none" w:sz="0" w:space="0" w:color="auto"/>
        <w:left w:val="none" w:sz="0" w:space="0" w:color="auto"/>
        <w:bottom w:val="none" w:sz="0" w:space="0" w:color="auto"/>
        <w:right w:val="none" w:sz="0" w:space="0" w:color="auto"/>
      </w:divBdr>
    </w:div>
    <w:div w:id="214145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efama.or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8" Type="http://schemas.openxmlformats.org/officeDocument/2006/relationships/image" Target="media/image1.w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4898A-8389-4F22-98AF-957210B6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18</Pages>
  <Words>2069</Words>
  <Characters>10642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lpstr>
    </vt:vector>
  </TitlesOfParts>
  <Company>EFAMA</Company>
  <LinksUpToDate>false</LinksUpToDate>
  <CharactersWithSpaces>12686</CharactersWithSpaces>
  <SharedDoc>false</SharedDoc>
  <HLinks>
    <vt:vector size="6" baseType="variant">
      <vt:variant>
        <vt:i4>4587527</vt:i4>
      </vt:variant>
      <vt:variant>
        <vt:i4>3</vt:i4>
      </vt:variant>
      <vt:variant>
        <vt:i4>0</vt:i4>
      </vt:variant>
      <vt:variant>
        <vt:i4>5</vt:i4>
      </vt:variant>
      <vt:variant>
        <vt:lpwstr>http://www.efama.org/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 Delbecque</dc:creator>
  <cp:keywords/>
  <dc:description/>
  <cp:lastModifiedBy>Alex Carrol</cp:lastModifiedBy>
  <cp:revision>139</cp:revision>
  <cp:lastPrinted>2018-03-07T11:34:00Z</cp:lastPrinted>
  <dcterms:created xsi:type="dcterms:W3CDTF">2017-12-05T14:54:00Z</dcterms:created>
  <dcterms:modified xsi:type="dcterms:W3CDTF">2018-03-07T13:18:00Z</dcterms:modified>
</cp:coreProperties>
</file>