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DE0D" w14:textId="447D15E5" w:rsidR="00BE2045" w:rsidRDefault="00BE2045">
      <w:pPr>
        <w:pStyle w:val="Footer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BE2045" w:rsidRPr="00FD75CC" w14:paraId="72168F22" w14:textId="77777777">
        <w:trPr>
          <w:trHeight w:val="1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E6F" w14:textId="369FAE46" w:rsidR="00BE2045" w:rsidRPr="00FD75CC" w:rsidRDefault="00C15217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73600" behindDoc="0" locked="0" layoutInCell="1" allowOverlap="1" wp14:anchorId="05B4F96B" wp14:editId="009EBD2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137160</wp:posOffset>
                  </wp:positionV>
                  <wp:extent cx="1835150" cy="100584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F50678" w14:textId="77777777" w:rsidR="00C15217" w:rsidRDefault="00C15217">
            <w:pPr>
              <w:pStyle w:val="Footer"/>
              <w:spacing w:line="360" w:lineRule="auto"/>
              <w:jc w:val="right"/>
            </w:pPr>
          </w:p>
          <w:p w14:paraId="48BC64AB" w14:textId="3081ED84" w:rsidR="00C15217" w:rsidRDefault="00C15217">
            <w:pPr>
              <w:pStyle w:val="Footer"/>
              <w:spacing w:line="360" w:lineRule="auto"/>
              <w:jc w:val="right"/>
            </w:pPr>
            <w:r>
              <w:t xml:space="preserve"> </w:t>
            </w:r>
            <w:r w:rsidR="009D5D6A">
              <w:t xml:space="preserve">         </w:t>
            </w:r>
            <w:r w:rsidR="00C34563">
              <w:t xml:space="preserve">                        </w:t>
            </w:r>
            <w:r w:rsidR="009D5D6A">
              <w:t xml:space="preserve">        </w:t>
            </w:r>
            <w:r w:rsidR="00BE2045">
              <w:t xml:space="preserve"> </w:t>
            </w:r>
          </w:p>
          <w:p w14:paraId="7E166E8F" w14:textId="2D657DF2" w:rsidR="00C15217" w:rsidRDefault="00C15217">
            <w:pPr>
              <w:pStyle w:val="Footer"/>
              <w:spacing w:line="360" w:lineRule="auto"/>
              <w:jc w:val="right"/>
            </w:pPr>
          </w:p>
          <w:p w14:paraId="77401FF2" w14:textId="7E6EDCB8" w:rsidR="00BE2045" w:rsidRPr="00FD75CC" w:rsidRDefault="00BE2045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val="en-US"/>
              </w:rPr>
              <w:t>Quarterly Statistical Release</w:t>
            </w:r>
            <w:r w:rsidR="009D5D6A">
              <w:t xml:space="preserve"> </w:t>
            </w:r>
            <w:r>
              <w:t xml:space="preserve"> </w:t>
            </w:r>
          </w:p>
        </w:tc>
      </w:tr>
    </w:tbl>
    <w:p w14:paraId="667DEDE1" w14:textId="1A162909" w:rsidR="004B44B7" w:rsidRPr="00FD75CC" w:rsidRDefault="004B44B7">
      <w:pPr>
        <w:pStyle w:val="Footer"/>
        <w:spacing w:line="360" w:lineRule="auto"/>
        <w:jc w:val="right"/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1BCB8D" w14:textId="73E7B4AC" w:rsidR="00BE2045" w:rsidRDefault="00F542B9">
      <w:pPr>
        <w:pStyle w:val="Footer"/>
        <w:spacing w:line="360" w:lineRule="auto"/>
        <w:jc w:val="right"/>
        <w:rPr>
          <w:rFonts w:ascii="Comic Sans MS" w:hAnsi="Comic Sans MS"/>
        </w:rPr>
      </w:pPr>
      <w:r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Decem</w:t>
      </w:r>
      <w:r w:rsidR="008257DB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</w:t>
      </w:r>
      <w:r w:rsidR="009C3EB7" w:rsidRPr="00FD75CC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2BB5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C3EB7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957D0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BE2045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N° </w:t>
      </w:r>
      <w:r w:rsidR="009C3EB7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8257DB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2D5C8889" w14:textId="210FA7A7" w:rsidR="00BE2045" w:rsidRDefault="00BE2045" w:rsidP="00104F7D">
      <w:pPr>
        <w:pStyle w:val="Footer"/>
        <w:jc w:val="right"/>
        <w:outlineLvl w:val="0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other statistical</w:t>
      </w:r>
    </w:p>
    <w:p w14:paraId="51EEBEF8" w14:textId="77777777" w:rsidR="00BE2045" w:rsidRDefault="00F652C2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releases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are available on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E</w:t>
      </w:r>
      <w:r w:rsidR="00BE2045">
        <w:rPr>
          <w:b/>
          <w:bCs/>
          <w:i/>
          <w:iCs/>
          <w:sz w:val="18"/>
          <w:szCs w:val="18"/>
          <w:lang w:val="en-US"/>
        </w:rPr>
        <w:t>fama’s</w:t>
      </w:r>
      <w:proofErr w:type="spellEnd"/>
    </w:p>
    <w:p w14:paraId="4F2109B5" w14:textId="77777777" w:rsidR="00BE2045" w:rsidRDefault="00BE2045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website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(</w:t>
      </w:r>
      <w:hyperlink r:id="rId9" w:history="1">
        <w:r>
          <w:rPr>
            <w:rStyle w:val="Hyperlink"/>
            <w:b/>
            <w:bCs/>
            <w:i/>
            <w:iCs/>
            <w:sz w:val="18"/>
            <w:szCs w:val="18"/>
          </w:rPr>
          <w:t>www.efama.org</w:t>
        </w:r>
      </w:hyperlink>
      <w:r>
        <w:rPr>
          <w:b/>
          <w:bCs/>
          <w:i/>
          <w:iCs/>
          <w:sz w:val="18"/>
          <w:szCs w:val="18"/>
          <w:lang w:val="en-US"/>
        </w:rPr>
        <w:t>)</w:t>
      </w:r>
    </w:p>
    <w:p w14:paraId="417E47E2" w14:textId="77777777" w:rsidR="00BE2045" w:rsidRDefault="00BE2045">
      <w:pPr>
        <w:pStyle w:val="Footer"/>
        <w:rPr>
          <w:b/>
          <w:bCs/>
          <w:i/>
          <w:iCs/>
          <w:sz w:val="18"/>
          <w:szCs w:val="18"/>
          <w:lang w:val="en-US"/>
        </w:rPr>
      </w:pPr>
    </w:p>
    <w:p w14:paraId="24988EDB" w14:textId="4C72C5EB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0BAD34AA" w14:textId="3FB41B02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0ECA0DB7" w14:textId="739ED620" w:rsidR="00BE2045" w:rsidRPr="00967D2C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87CE28B" w14:textId="77777777" w:rsidR="00BE2045" w:rsidRPr="00967D2C" w:rsidRDefault="00BE2045" w:rsidP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A0BF01F" w14:textId="7B581D95" w:rsidR="00340C4D" w:rsidRDefault="00340C4D" w:rsidP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707B864" w14:textId="5F86AD16" w:rsidR="00495840" w:rsidRDefault="0049584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2E39BA15" w14:textId="77777777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7A484BA" w14:textId="77777777" w:rsidR="00E31FD0" w:rsidRDefault="00E31FD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1ED3AD2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4F65B70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3A1EA6AA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4EC8C78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D84D03F" w14:textId="77777777" w:rsidR="00887A60" w:rsidRDefault="00887A6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B360AAD" w14:textId="77777777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1344908D" w14:textId="77777777" w:rsidR="00BE2045" w:rsidRDefault="00BE2045" w:rsidP="00104F7D">
      <w:pPr>
        <w:pStyle w:val="Footer"/>
        <w:jc w:val="center"/>
        <w:outlineLvl w:val="0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Trends in the European Investment Fund Industry</w:t>
      </w:r>
    </w:p>
    <w:p w14:paraId="486A34E2" w14:textId="77777777" w:rsidR="00BE2045" w:rsidRDefault="00BE2045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2D7B9CC4" w14:textId="301DA1FE" w:rsidR="008F2549" w:rsidRDefault="002C628C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  <w:proofErr w:type="gramStart"/>
      <w:r>
        <w:rPr>
          <w:b/>
          <w:bCs/>
          <w:i/>
          <w:iCs/>
          <w:sz w:val="40"/>
          <w:szCs w:val="40"/>
          <w:lang w:val="en-US"/>
        </w:rPr>
        <w:t>in</w:t>
      </w:r>
      <w:proofErr w:type="gramEnd"/>
      <w:r w:rsidR="00F81F78">
        <w:rPr>
          <w:b/>
          <w:bCs/>
          <w:i/>
          <w:iCs/>
          <w:sz w:val="40"/>
          <w:szCs w:val="40"/>
          <w:lang w:val="en-US"/>
        </w:rPr>
        <w:t xml:space="preserve"> the </w:t>
      </w:r>
      <w:r w:rsidR="008257DB">
        <w:rPr>
          <w:b/>
          <w:bCs/>
          <w:i/>
          <w:iCs/>
          <w:sz w:val="40"/>
          <w:szCs w:val="40"/>
          <w:lang w:val="en-US"/>
        </w:rPr>
        <w:t>Third</w:t>
      </w:r>
      <w:r w:rsidR="004465FC">
        <w:rPr>
          <w:b/>
          <w:bCs/>
          <w:i/>
          <w:iCs/>
          <w:sz w:val="40"/>
          <w:szCs w:val="40"/>
          <w:lang w:val="en-US"/>
        </w:rPr>
        <w:t xml:space="preserve"> Quarter of 201</w:t>
      </w:r>
      <w:r w:rsidR="001957D0">
        <w:rPr>
          <w:b/>
          <w:bCs/>
          <w:i/>
          <w:iCs/>
          <w:sz w:val="40"/>
          <w:szCs w:val="40"/>
          <w:lang w:val="en-US"/>
        </w:rPr>
        <w:t>8</w:t>
      </w:r>
    </w:p>
    <w:p w14:paraId="7A39DCCC" w14:textId="77777777" w:rsidR="009A23FA" w:rsidRDefault="009A23F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18D876E6" w14:textId="77777777" w:rsidR="00767566" w:rsidRDefault="00767566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4356018A" w14:textId="77777777" w:rsidR="00AC73EA" w:rsidRDefault="00AC73E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5585D682" w14:textId="77777777" w:rsidR="00C31FBE" w:rsidRDefault="00C31FBE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0A832F18" w14:textId="77777777" w:rsidR="00DA0EDA" w:rsidRDefault="00DA0ED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65B2547A" w14:textId="77777777" w:rsidR="005A704F" w:rsidRDefault="005A704F" w:rsidP="00473B0A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p w14:paraId="055FC555" w14:textId="77777777"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46220EC4" w14:textId="77777777" w:rsidR="008516E2" w:rsidRDefault="008516E2" w:rsidP="002175FD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E2045" w:rsidRPr="00F8578F" w14:paraId="47C2B4F2" w14:textId="77777777">
        <w:trPr>
          <w:trHeight w:val="161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A95" w14:textId="77777777" w:rsidR="00BE2045" w:rsidRDefault="00BE2045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6A8D6C0" w14:textId="4E5150FF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 xml:space="preserve">This report was prepared by </w:t>
            </w:r>
            <w:r w:rsidR="00FA1AAF">
              <w:rPr>
                <w:b/>
                <w:bCs/>
                <w:sz w:val="18"/>
                <w:szCs w:val="16"/>
                <w:lang w:val="en-US"/>
              </w:rPr>
              <w:t xml:space="preserve">Bernard Delbecque, </w:t>
            </w:r>
            <w:r w:rsidR="004465FC">
              <w:rPr>
                <w:b/>
                <w:bCs/>
                <w:sz w:val="18"/>
                <w:szCs w:val="16"/>
                <w:lang w:val="en-US"/>
              </w:rPr>
              <w:t>Thomas Tilley</w:t>
            </w:r>
            <w:r w:rsidR="00FA1AAF">
              <w:rPr>
                <w:b/>
                <w:bCs/>
                <w:sz w:val="18"/>
                <w:szCs w:val="16"/>
                <w:lang w:val="en-US"/>
              </w:rPr>
              <w:t xml:space="preserve"> and Hailin Yang</w:t>
            </w:r>
          </w:p>
          <w:p w14:paraId="76436EAB" w14:textId="77777777" w:rsidR="00BE2045" w:rsidRDefault="00FD75CC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9E0DFC" wp14:editId="3D8B2B0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47625</wp:posOffset>
                      </wp:positionV>
                      <wp:extent cx="5038725" cy="0"/>
                      <wp:effectExtent l="0" t="0" r="0" b="0"/>
                      <wp:wrapSquare wrapText="bothSides"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61D6B" id="Line 4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75pt" to="42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8pFwIAADM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">
                      <w10:wrap type="square"/>
                    </v:line>
                  </w:pict>
                </mc:Fallback>
              </mc:AlternateContent>
            </w:r>
          </w:p>
          <w:p w14:paraId="13F99E0B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EFAMA</w:t>
            </w:r>
          </w:p>
          <w:p w14:paraId="6A30D2A7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The European Fund and Asset Management Association</w:t>
            </w:r>
          </w:p>
          <w:p w14:paraId="6E0E3585" w14:textId="77777777" w:rsidR="00BE2045" w:rsidRDefault="00BE2045">
            <w:pPr>
              <w:pStyle w:val="Footer"/>
              <w:jc w:val="both"/>
              <w:rPr>
                <w:b/>
                <w:bCs/>
                <w:sz w:val="18"/>
                <w:szCs w:val="16"/>
                <w:lang w:val="en-US"/>
              </w:rPr>
            </w:pPr>
          </w:p>
          <w:p w14:paraId="32281BE4" w14:textId="77777777" w:rsidR="00BE2045" w:rsidRPr="00FD75CC" w:rsidRDefault="00495840">
            <w:pPr>
              <w:pStyle w:val="Footer"/>
              <w:spacing w:line="360" w:lineRule="auto"/>
              <w:jc w:val="center"/>
              <w:rPr>
                <w:b/>
                <w:bCs/>
                <w:sz w:val="18"/>
                <w:szCs w:val="24"/>
                <w:lang w:val="fr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8"/>
                <w:szCs w:val="16"/>
                <w:lang w:val="fr-BE"/>
              </w:rPr>
              <w:t xml:space="preserve">Rue </w:t>
            </w:r>
            <w:proofErr w:type="spellStart"/>
            <w:r>
              <w:rPr>
                <w:b/>
                <w:bCs/>
                <w:sz w:val="18"/>
                <w:szCs w:val="16"/>
                <w:lang w:val="fr-BE"/>
              </w:rPr>
              <w:t>Montoyer</w:t>
            </w:r>
            <w:proofErr w:type="spellEnd"/>
            <w:r>
              <w:rPr>
                <w:b/>
                <w:bCs/>
                <w:sz w:val="18"/>
                <w:szCs w:val="16"/>
                <w:lang w:val="fr-BE"/>
              </w:rPr>
              <w:t xml:space="preserve"> 47 - B-100</w:t>
            </w:r>
            <w:r w:rsidR="00BE2045">
              <w:rPr>
                <w:b/>
                <w:bCs/>
                <w:sz w:val="18"/>
                <w:szCs w:val="16"/>
                <w:lang w:val="fr-BE"/>
              </w:rPr>
              <w:t>0 BRUXELLES - Tel. 32-2-513.39.69 Fax: 32-2-513.26.43 - e-mail: info@efama.org</w:t>
            </w:r>
          </w:p>
        </w:tc>
      </w:tr>
    </w:tbl>
    <w:p w14:paraId="2AE165F7" w14:textId="60D5BC8E" w:rsidR="00A155D2" w:rsidRPr="005961BD" w:rsidRDefault="00AC73EA" w:rsidP="001142A5">
      <w:pPr>
        <w:pStyle w:val="Footer"/>
        <w:jc w:val="center"/>
        <w:outlineLvl w:val="0"/>
        <w:rPr>
          <w:lang w:val="fr-BE"/>
        </w:rPr>
      </w:pPr>
      <w:r w:rsidRPr="005961BD">
        <w:rPr>
          <w:b/>
          <w:bCs/>
          <w:sz w:val="28"/>
          <w:szCs w:val="28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5961BD">
        <w:rPr>
          <w:lang w:val="fr-BE"/>
        </w:rPr>
        <w:lastRenderedPageBreak/>
        <w:t xml:space="preserve"> </w:t>
      </w:r>
    </w:p>
    <w:p w14:paraId="241182CF" w14:textId="37CFE640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UCITS Market</w:t>
      </w:r>
    </w:p>
    <w:p w14:paraId="4ED3FD04" w14:textId="68DF0D22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359E56AC" w14:textId="705D4FDD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2E801D07" w14:textId="005388B6" w:rsidR="009D4CAE" w:rsidRPr="00121780" w:rsidRDefault="009D4CAE" w:rsidP="009D4CAE">
      <w:pPr>
        <w:spacing w:line="260" w:lineRule="exact"/>
        <w:jc w:val="both"/>
        <w:rPr>
          <w:b/>
          <w:color w:val="0000FF"/>
          <w:sz w:val="22"/>
          <w:szCs w:val="22"/>
          <w:lang w:eastAsia="fr-FR"/>
        </w:rPr>
      </w:pPr>
      <w:r w:rsidRPr="00121780">
        <w:rPr>
          <w:b/>
          <w:color w:val="0000FF"/>
          <w:sz w:val="22"/>
          <w:szCs w:val="22"/>
          <w:lang w:eastAsia="fr-FR"/>
        </w:rPr>
        <w:t xml:space="preserve">UCITS recorded net sales of EUR </w:t>
      </w:r>
      <w:r>
        <w:rPr>
          <w:b/>
          <w:color w:val="0000FF"/>
          <w:sz w:val="22"/>
          <w:szCs w:val="22"/>
          <w:lang w:eastAsia="fr-FR"/>
        </w:rPr>
        <w:t>3</w:t>
      </w:r>
      <w:r w:rsidRPr="00121780">
        <w:rPr>
          <w:b/>
          <w:color w:val="0000FF"/>
          <w:sz w:val="22"/>
          <w:szCs w:val="22"/>
          <w:lang w:eastAsia="fr-FR"/>
        </w:rPr>
        <w:t xml:space="preserve"> billion during Q3 201</w:t>
      </w:r>
      <w:r>
        <w:rPr>
          <w:b/>
          <w:color w:val="0000FF"/>
          <w:sz w:val="22"/>
          <w:szCs w:val="22"/>
          <w:lang w:eastAsia="fr-FR"/>
        </w:rPr>
        <w:t>8</w:t>
      </w:r>
      <w:r w:rsidRPr="00121780">
        <w:rPr>
          <w:b/>
          <w:color w:val="0000FF"/>
          <w:sz w:val="22"/>
          <w:szCs w:val="22"/>
          <w:lang w:eastAsia="fr-FR"/>
        </w:rPr>
        <w:t>, compared to EUR 15 billion in the second quarter of 201</w:t>
      </w:r>
      <w:r>
        <w:rPr>
          <w:b/>
          <w:color w:val="0000FF"/>
          <w:sz w:val="22"/>
          <w:szCs w:val="22"/>
          <w:lang w:eastAsia="fr-FR"/>
        </w:rPr>
        <w:t>8</w:t>
      </w:r>
      <w:r w:rsidRPr="00121780">
        <w:rPr>
          <w:b/>
          <w:color w:val="0000FF"/>
          <w:sz w:val="22"/>
          <w:szCs w:val="22"/>
          <w:lang w:eastAsia="fr-FR"/>
        </w:rPr>
        <w:t xml:space="preserve">. </w:t>
      </w:r>
      <w:r>
        <w:rPr>
          <w:b/>
          <w:color w:val="0000FF"/>
          <w:sz w:val="22"/>
          <w:szCs w:val="22"/>
          <w:lang w:eastAsia="fr-FR"/>
        </w:rPr>
        <w:t>During the first three quarters of 2018</w:t>
      </w:r>
      <w:r w:rsidRPr="00121780">
        <w:rPr>
          <w:b/>
          <w:color w:val="0000FF"/>
          <w:sz w:val="22"/>
          <w:szCs w:val="22"/>
          <w:lang w:eastAsia="fr-FR"/>
        </w:rPr>
        <w:t xml:space="preserve">, UCITS have attracted cumulative net sales of EUR </w:t>
      </w:r>
      <w:r w:rsidR="00960108">
        <w:rPr>
          <w:b/>
          <w:color w:val="0000FF"/>
          <w:sz w:val="22"/>
          <w:szCs w:val="22"/>
          <w:lang w:eastAsia="fr-FR"/>
        </w:rPr>
        <w:t>189</w:t>
      </w:r>
      <w:r w:rsidRPr="00121780">
        <w:rPr>
          <w:b/>
          <w:color w:val="0000FF"/>
          <w:sz w:val="22"/>
          <w:szCs w:val="22"/>
          <w:lang w:eastAsia="fr-FR"/>
        </w:rPr>
        <w:t xml:space="preserve"> billion, compared to EUR </w:t>
      </w:r>
      <w:r w:rsidR="00960108">
        <w:rPr>
          <w:b/>
          <w:color w:val="0000FF"/>
          <w:sz w:val="22"/>
          <w:szCs w:val="22"/>
          <w:lang w:eastAsia="fr-FR"/>
        </w:rPr>
        <w:t xml:space="preserve">570 </w:t>
      </w:r>
      <w:r w:rsidRPr="00121780">
        <w:rPr>
          <w:b/>
          <w:color w:val="0000FF"/>
          <w:sz w:val="22"/>
          <w:szCs w:val="22"/>
          <w:lang w:eastAsia="fr-FR"/>
        </w:rPr>
        <w:t xml:space="preserve">billion </w:t>
      </w:r>
      <w:r w:rsidR="00960108">
        <w:rPr>
          <w:b/>
          <w:color w:val="0000FF"/>
          <w:sz w:val="22"/>
          <w:szCs w:val="22"/>
          <w:lang w:eastAsia="fr-FR"/>
        </w:rPr>
        <w:t>of first three quarters of 2017.</w:t>
      </w:r>
      <w:r w:rsidRPr="00121780">
        <w:rPr>
          <w:b/>
          <w:color w:val="0000FF"/>
          <w:sz w:val="22"/>
          <w:szCs w:val="22"/>
          <w:lang w:eastAsia="fr-FR"/>
        </w:rPr>
        <w:t xml:space="preserve"> </w:t>
      </w:r>
    </w:p>
    <w:p w14:paraId="03E66139" w14:textId="0C3E3305" w:rsidR="009D4CAE" w:rsidRDefault="009D4CAE" w:rsidP="009D4CAE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74CD5AFF" w14:textId="1659C7BD" w:rsidR="00C26C98" w:rsidRDefault="009D4CAE" w:rsidP="00C26C98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7D3A6C">
        <w:rPr>
          <w:bCs/>
          <w:color w:val="000000"/>
          <w:sz w:val="22"/>
          <w:szCs w:val="22"/>
        </w:rPr>
        <w:t xml:space="preserve">Long-term UCITS </w:t>
      </w:r>
      <w:r>
        <w:rPr>
          <w:bCs/>
          <w:color w:val="000000"/>
          <w:sz w:val="22"/>
          <w:szCs w:val="22"/>
        </w:rPr>
        <w:t xml:space="preserve">recorded net sales of EUR </w:t>
      </w:r>
      <w:r w:rsidR="00960108">
        <w:rPr>
          <w:bCs/>
          <w:color w:val="000000"/>
          <w:sz w:val="22"/>
          <w:szCs w:val="22"/>
        </w:rPr>
        <w:t>16</w:t>
      </w:r>
      <w:r>
        <w:rPr>
          <w:bCs/>
          <w:color w:val="000000"/>
          <w:sz w:val="22"/>
          <w:szCs w:val="22"/>
        </w:rPr>
        <w:t xml:space="preserve"> billion in Q3 201</w:t>
      </w:r>
      <w:r w:rsidR="00960108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down from EUR </w:t>
      </w:r>
      <w:r w:rsidR="00960108">
        <w:rPr>
          <w:bCs/>
          <w:color w:val="000000"/>
          <w:sz w:val="22"/>
          <w:szCs w:val="22"/>
        </w:rPr>
        <w:t>33</w:t>
      </w:r>
      <w:r w:rsidRPr="00A7353F">
        <w:rPr>
          <w:bCs/>
          <w:color w:val="000000"/>
          <w:sz w:val="22"/>
          <w:szCs w:val="22"/>
        </w:rPr>
        <w:t xml:space="preserve"> billion in </w:t>
      </w:r>
      <w:r>
        <w:rPr>
          <w:bCs/>
          <w:color w:val="000000"/>
          <w:sz w:val="22"/>
          <w:szCs w:val="22"/>
        </w:rPr>
        <w:t>Q2 201</w:t>
      </w:r>
      <w:r w:rsidR="00960108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Net sales of equity funds amounted to EUR </w:t>
      </w:r>
      <w:r w:rsidR="00960108">
        <w:rPr>
          <w:bCs/>
          <w:color w:val="000000"/>
          <w:sz w:val="22"/>
          <w:szCs w:val="22"/>
        </w:rPr>
        <w:t xml:space="preserve">20 billion, up from </w:t>
      </w:r>
      <w:r>
        <w:rPr>
          <w:bCs/>
          <w:color w:val="000000"/>
          <w:sz w:val="22"/>
          <w:szCs w:val="22"/>
        </w:rPr>
        <w:t xml:space="preserve">EUR </w:t>
      </w:r>
      <w:r w:rsidR="00960108">
        <w:rPr>
          <w:bCs/>
          <w:color w:val="000000"/>
          <w:sz w:val="22"/>
          <w:szCs w:val="22"/>
        </w:rPr>
        <w:t>10</w:t>
      </w:r>
      <w:r>
        <w:rPr>
          <w:bCs/>
          <w:color w:val="000000"/>
          <w:sz w:val="22"/>
          <w:szCs w:val="22"/>
        </w:rPr>
        <w:t xml:space="preserve"> billion in Q2 201</w:t>
      </w:r>
      <w:r w:rsidR="00960108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>. Ne</w:t>
      </w:r>
      <w:r w:rsidRPr="00A7353F">
        <w:rPr>
          <w:bCs/>
          <w:color w:val="000000"/>
          <w:sz w:val="22"/>
          <w:szCs w:val="22"/>
        </w:rPr>
        <w:t>t sales of multi-asset funds</w:t>
      </w:r>
      <w:r>
        <w:rPr>
          <w:bCs/>
          <w:color w:val="000000"/>
          <w:sz w:val="22"/>
          <w:szCs w:val="22"/>
        </w:rPr>
        <w:t xml:space="preserve"> decreased from EUR </w:t>
      </w:r>
      <w:r w:rsidR="00960108">
        <w:rPr>
          <w:bCs/>
          <w:color w:val="000000"/>
          <w:sz w:val="22"/>
          <w:szCs w:val="22"/>
        </w:rPr>
        <w:t>28</w:t>
      </w:r>
      <w:r>
        <w:rPr>
          <w:bCs/>
          <w:color w:val="000000"/>
          <w:sz w:val="22"/>
          <w:szCs w:val="22"/>
        </w:rPr>
        <w:t xml:space="preserve"> billion in Q2 201</w:t>
      </w:r>
      <w:r w:rsidR="00960108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 to EUR </w:t>
      </w:r>
      <w:r w:rsidR="00960108">
        <w:rPr>
          <w:bCs/>
          <w:color w:val="000000"/>
          <w:sz w:val="22"/>
          <w:szCs w:val="22"/>
        </w:rPr>
        <w:t>1</w:t>
      </w:r>
      <w:r w:rsidR="00B97855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billion in Q3 201</w:t>
      </w:r>
      <w:r w:rsidR="00960108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. </w:t>
      </w:r>
      <w:r w:rsidR="00004578">
        <w:rPr>
          <w:bCs/>
          <w:color w:val="000000"/>
          <w:sz w:val="22"/>
          <w:szCs w:val="22"/>
        </w:rPr>
        <w:t>B</w:t>
      </w:r>
      <w:r w:rsidRPr="00A7353F">
        <w:rPr>
          <w:bCs/>
          <w:color w:val="000000"/>
          <w:sz w:val="22"/>
          <w:szCs w:val="22"/>
        </w:rPr>
        <w:t xml:space="preserve">ond </w:t>
      </w:r>
      <w:r w:rsidR="00C26C98">
        <w:rPr>
          <w:bCs/>
          <w:color w:val="000000"/>
          <w:sz w:val="22"/>
          <w:szCs w:val="22"/>
        </w:rPr>
        <w:t xml:space="preserve">funds recorded net outflows of EUR </w:t>
      </w:r>
      <w:r w:rsidR="00B97855">
        <w:rPr>
          <w:bCs/>
          <w:color w:val="000000"/>
          <w:sz w:val="22"/>
          <w:szCs w:val="22"/>
        </w:rPr>
        <w:t>6</w:t>
      </w:r>
      <w:r w:rsidR="00C26C98">
        <w:rPr>
          <w:bCs/>
          <w:color w:val="000000"/>
          <w:sz w:val="22"/>
          <w:szCs w:val="22"/>
        </w:rPr>
        <w:t xml:space="preserve"> billion in Q3 2018, compared to net outflows of EUR 1 billion in Q2 2018.</w:t>
      </w:r>
      <w:r w:rsidR="00C26C98" w:rsidRPr="00C26C98">
        <w:rPr>
          <w:bCs/>
          <w:color w:val="000000"/>
          <w:sz w:val="22"/>
          <w:szCs w:val="22"/>
        </w:rPr>
        <w:t xml:space="preserve"> </w:t>
      </w:r>
      <w:r w:rsidR="00C26C98">
        <w:rPr>
          <w:bCs/>
          <w:color w:val="000000"/>
          <w:sz w:val="22"/>
          <w:szCs w:val="22"/>
        </w:rPr>
        <w:t>Net sales of money market fund remained</w:t>
      </w:r>
      <w:r w:rsidR="004E32B2">
        <w:rPr>
          <w:bCs/>
          <w:color w:val="000000"/>
          <w:sz w:val="22"/>
          <w:szCs w:val="22"/>
        </w:rPr>
        <w:t xml:space="preserve"> negative, with net outflows of </w:t>
      </w:r>
      <w:r w:rsidR="00C26C98">
        <w:rPr>
          <w:bCs/>
          <w:color w:val="000000"/>
          <w:sz w:val="22"/>
          <w:szCs w:val="22"/>
        </w:rPr>
        <w:t>EUR 1</w:t>
      </w:r>
      <w:r w:rsidR="007E14C8">
        <w:rPr>
          <w:bCs/>
          <w:color w:val="000000"/>
          <w:sz w:val="22"/>
          <w:szCs w:val="22"/>
        </w:rPr>
        <w:t>3</w:t>
      </w:r>
      <w:r w:rsidR="00C26C98">
        <w:rPr>
          <w:bCs/>
          <w:color w:val="000000"/>
          <w:sz w:val="22"/>
          <w:szCs w:val="22"/>
        </w:rPr>
        <w:t xml:space="preserve"> billion in Q3 2018, compared to </w:t>
      </w:r>
      <w:r w:rsidR="004E32B2">
        <w:rPr>
          <w:bCs/>
          <w:color w:val="000000"/>
          <w:sz w:val="22"/>
          <w:szCs w:val="22"/>
        </w:rPr>
        <w:t xml:space="preserve">EUR </w:t>
      </w:r>
      <w:r w:rsidR="00C26C98">
        <w:rPr>
          <w:bCs/>
          <w:color w:val="000000"/>
          <w:sz w:val="22"/>
          <w:szCs w:val="22"/>
        </w:rPr>
        <w:t xml:space="preserve">18 billion in Q2 2018.  </w:t>
      </w:r>
    </w:p>
    <w:p w14:paraId="6380BC40" w14:textId="05850746" w:rsidR="001142A5" w:rsidRDefault="008257DB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30EFDD5D" wp14:editId="290BBCF0">
            <wp:simplePos x="0" y="0"/>
            <wp:positionH relativeFrom="margin">
              <wp:posOffset>-191135</wp:posOffset>
            </wp:positionH>
            <wp:positionV relativeFrom="paragraph">
              <wp:posOffset>177165</wp:posOffset>
            </wp:positionV>
            <wp:extent cx="3434080" cy="20878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2E074" w14:textId="28A63090" w:rsidR="001142A5" w:rsidRPr="00955553" w:rsidRDefault="008257DB" w:rsidP="001142A5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95104" behindDoc="0" locked="0" layoutInCell="1" allowOverlap="1" wp14:anchorId="5BAE1FAB" wp14:editId="7C9569B4">
            <wp:simplePos x="0" y="0"/>
            <wp:positionH relativeFrom="margin">
              <wp:posOffset>3286760</wp:posOffset>
            </wp:positionH>
            <wp:positionV relativeFrom="paragraph">
              <wp:posOffset>9525</wp:posOffset>
            </wp:positionV>
            <wp:extent cx="3434080" cy="20904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9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29AFFC" w14:textId="15CEDACD" w:rsidR="001142A5" w:rsidRPr="00FD75CC" w:rsidRDefault="001142A5" w:rsidP="001142A5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13B53" w14:textId="195D7394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5DC4C1" w14:textId="14AE3B3D" w:rsidR="001142A5" w:rsidRPr="009F698C" w:rsidRDefault="001142A5" w:rsidP="001142A5"/>
    <w:p w14:paraId="445205A4" w14:textId="1A82BE2A" w:rsidR="001142A5" w:rsidRPr="009F698C" w:rsidRDefault="001142A5" w:rsidP="001142A5"/>
    <w:p w14:paraId="19AF4324" w14:textId="643233C1" w:rsidR="001142A5" w:rsidRPr="009F698C" w:rsidRDefault="001142A5" w:rsidP="001142A5"/>
    <w:p w14:paraId="73AF7864" w14:textId="0DECBAA0" w:rsidR="001142A5" w:rsidRPr="009F698C" w:rsidRDefault="001142A5" w:rsidP="001142A5"/>
    <w:p w14:paraId="2DAA9D00" w14:textId="483CCDC8" w:rsidR="001142A5" w:rsidRPr="009F698C" w:rsidRDefault="001142A5" w:rsidP="001142A5"/>
    <w:p w14:paraId="0555C878" w14:textId="3712512F" w:rsidR="001142A5" w:rsidRPr="009F698C" w:rsidRDefault="001142A5" w:rsidP="001142A5"/>
    <w:p w14:paraId="46F8514D" w14:textId="38CAC8B9" w:rsidR="001142A5" w:rsidRPr="009F698C" w:rsidRDefault="001142A5" w:rsidP="001142A5"/>
    <w:p w14:paraId="3F53C92B" w14:textId="2BFA8264" w:rsidR="001142A5" w:rsidRPr="009F698C" w:rsidRDefault="001142A5" w:rsidP="001142A5"/>
    <w:p w14:paraId="0C595A6E" w14:textId="33F71193" w:rsidR="001142A5" w:rsidRPr="009F698C" w:rsidRDefault="001142A5" w:rsidP="001142A5"/>
    <w:p w14:paraId="5AEEDF56" w14:textId="4273A6CE" w:rsidR="001142A5" w:rsidRPr="009F698C" w:rsidRDefault="00872666" w:rsidP="001142A5">
      <w:r>
        <w:rPr>
          <w:noProof/>
        </w:rPr>
        <w:drawing>
          <wp:anchor distT="0" distB="0" distL="114300" distR="114300" simplePos="0" relativeHeight="251726848" behindDoc="0" locked="0" layoutInCell="1" allowOverlap="1" wp14:anchorId="11D39D87" wp14:editId="60C2205C">
            <wp:simplePos x="0" y="0"/>
            <wp:positionH relativeFrom="column">
              <wp:posOffset>3304540</wp:posOffset>
            </wp:positionH>
            <wp:positionV relativeFrom="paragraph">
              <wp:posOffset>130175</wp:posOffset>
            </wp:positionV>
            <wp:extent cx="3433445" cy="20878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5CC5699E" wp14:editId="74A87CB4">
            <wp:simplePos x="0" y="0"/>
            <wp:positionH relativeFrom="margin">
              <wp:posOffset>-266700</wp:posOffset>
            </wp:positionH>
            <wp:positionV relativeFrom="paragraph">
              <wp:posOffset>120650</wp:posOffset>
            </wp:positionV>
            <wp:extent cx="3433445" cy="20878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ADAFC" w14:textId="062CB128" w:rsidR="001142A5" w:rsidRPr="009F698C" w:rsidRDefault="001142A5" w:rsidP="001142A5"/>
    <w:p w14:paraId="6AAFA8DF" w14:textId="76A6C126" w:rsidR="001142A5" w:rsidRPr="009F698C" w:rsidRDefault="001142A5" w:rsidP="001142A5"/>
    <w:p w14:paraId="6FEE5D1C" w14:textId="23292A67" w:rsidR="001142A5" w:rsidRPr="009F698C" w:rsidRDefault="001142A5" w:rsidP="001142A5"/>
    <w:p w14:paraId="2676DCCE" w14:textId="483F89B3" w:rsidR="001142A5" w:rsidRPr="009F698C" w:rsidRDefault="001142A5" w:rsidP="001142A5"/>
    <w:p w14:paraId="39019863" w14:textId="41F2D8B3" w:rsidR="001142A5" w:rsidRPr="009F698C" w:rsidRDefault="001142A5" w:rsidP="001142A5"/>
    <w:p w14:paraId="0D3FE7BB" w14:textId="77777777" w:rsidR="001142A5" w:rsidRPr="009F698C" w:rsidRDefault="001142A5" w:rsidP="001142A5"/>
    <w:p w14:paraId="67A9BBA3" w14:textId="77777777" w:rsidR="001142A5" w:rsidRDefault="001142A5" w:rsidP="001142A5">
      <w:pPr>
        <w:pStyle w:val="Footer"/>
        <w:jc w:val="center"/>
        <w:outlineLvl w:val="0"/>
      </w:pPr>
    </w:p>
    <w:p w14:paraId="759039B9" w14:textId="4BB17E56" w:rsidR="001142A5" w:rsidRDefault="001142A5" w:rsidP="001142A5">
      <w:pPr>
        <w:pStyle w:val="Footer"/>
        <w:jc w:val="center"/>
        <w:outlineLvl w:val="0"/>
      </w:pPr>
    </w:p>
    <w:p w14:paraId="3903626C" w14:textId="77777777" w:rsidR="001142A5" w:rsidRDefault="001142A5" w:rsidP="001142A5">
      <w:pPr>
        <w:pStyle w:val="Footer"/>
        <w:tabs>
          <w:tab w:val="clear" w:pos="864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39895" w14:textId="34BF1524" w:rsidR="001142A5" w:rsidRPr="00FD75CC" w:rsidRDefault="00E24806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US"/>
        </w:rPr>
        <w:drawing>
          <wp:anchor distT="0" distB="0" distL="114300" distR="114300" simplePos="0" relativeHeight="251742208" behindDoc="0" locked="0" layoutInCell="1" allowOverlap="1" wp14:anchorId="276EF461" wp14:editId="1274094F">
            <wp:simplePos x="0" y="0"/>
            <wp:positionH relativeFrom="column">
              <wp:posOffset>3357245</wp:posOffset>
            </wp:positionH>
            <wp:positionV relativeFrom="paragraph">
              <wp:posOffset>760730</wp:posOffset>
            </wp:positionV>
            <wp:extent cx="3429635" cy="2087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2666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1E7BFCF1" wp14:editId="219AC326">
            <wp:simplePos x="0" y="0"/>
            <wp:positionH relativeFrom="column">
              <wp:posOffset>-191135</wp:posOffset>
            </wp:positionH>
            <wp:positionV relativeFrom="paragraph">
              <wp:posOffset>760730</wp:posOffset>
            </wp:positionV>
            <wp:extent cx="3429778" cy="2088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78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9F698C">
        <w:br w:type="page"/>
      </w:r>
      <w:bookmarkStart w:id="0" w:name="OLE_LINK3"/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236173AF" w14:textId="6DC84D2B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Country of Domiciliation and Investment Type</w:t>
      </w:r>
    </w:p>
    <w:p w14:paraId="6C9FB519" w14:textId="25C142DE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168B469B" w14:textId="2E3D5E93" w:rsidR="009D4CAE" w:rsidRDefault="00C26C98" w:rsidP="009D4CAE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F</w:t>
      </w:r>
      <w:r w:rsidR="00FD29D8">
        <w:rPr>
          <w:b/>
          <w:color w:val="0000FF"/>
          <w:sz w:val="22"/>
          <w:szCs w:val="22"/>
          <w:lang w:eastAsia="fr-FR"/>
        </w:rPr>
        <w:t>ifteen</w:t>
      </w:r>
      <w:r w:rsidR="009D4CAE">
        <w:rPr>
          <w:b/>
          <w:color w:val="0000FF"/>
          <w:sz w:val="22"/>
          <w:szCs w:val="22"/>
          <w:lang w:eastAsia="fr-FR"/>
        </w:rPr>
        <w:t xml:space="preserve"> countries registered</w:t>
      </w:r>
      <w:r w:rsidR="009D4CAE" w:rsidRPr="00783D39">
        <w:rPr>
          <w:b/>
          <w:color w:val="0000FF"/>
          <w:sz w:val="22"/>
          <w:szCs w:val="22"/>
          <w:lang w:eastAsia="fr-FR"/>
        </w:rPr>
        <w:t xml:space="preserve"> net inflows</w:t>
      </w:r>
      <w:r w:rsidR="009D4CAE">
        <w:rPr>
          <w:b/>
          <w:color w:val="0000FF"/>
          <w:sz w:val="22"/>
          <w:szCs w:val="22"/>
          <w:lang w:eastAsia="fr-FR"/>
        </w:rPr>
        <w:t xml:space="preserve"> into UCITS in the third quarter of 201</w:t>
      </w:r>
      <w:r>
        <w:rPr>
          <w:b/>
          <w:color w:val="0000FF"/>
          <w:sz w:val="22"/>
          <w:szCs w:val="22"/>
          <w:lang w:eastAsia="fr-FR"/>
        </w:rPr>
        <w:t>8</w:t>
      </w:r>
      <w:r w:rsidR="009D4CAE">
        <w:rPr>
          <w:b/>
          <w:color w:val="0000FF"/>
          <w:sz w:val="22"/>
          <w:szCs w:val="22"/>
          <w:lang w:eastAsia="fr-FR"/>
        </w:rPr>
        <w:t xml:space="preserve">, with </w:t>
      </w:r>
      <w:r>
        <w:rPr>
          <w:b/>
          <w:color w:val="0000FF"/>
          <w:sz w:val="22"/>
          <w:szCs w:val="22"/>
          <w:lang w:eastAsia="fr-FR"/>
        </w:rPr>
        <w:t>seven</w:t>
      </w:r>
      <w:r w:rsidR="009D4CAE">
        <w:rPr>
          <w:b/>
          <w:color w:val="0000FF"/>
          <w:sz w:val="22"/>
          <w:szCs w:val="22"/>
          <w:lang w:eastAsia="fr-FR"/>
        </w:rPr>
        <w:t xml:space="preserve"> countries recording net sales above EUR 1 billion.</w:t>
      </w:r>
    </w:p>
    <w:p w14:paraId="78206A64" w14:textId="3E27D412" w:rsidR="009D4CAE" w:rsidRDefault="009D4CAE" w:rsidP="009D4CAE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0E9E867A" w14:textId="4C5D9F28" w:rsidR="009D4CAE" w:rsidRDefault="009D4CAE" w:rsidP="009D4CAE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The </w:t>
      </w:r>
      <w:r w:rsidR="00F1473E">
        <w:rPr>
          <w:sz w:val="22"/>
          <w:szCs w:val="22"/>
          <w:lang w:eastAsia="fr-FR"/>
        </w:rPr>
        <w:t xml:space="preserve">seven </w:t>
      </w:r>
      <w:r>
        <w:rPr>
          <w:sz w:val="22"/>
          <w:szCs w:val="22"/>
          <w:lang w:eastAsia="fr-FR"/>
        </w:rPr>
        <w:t xml:space="preserve">domiciles with net sales </w:t>
      </w:r>
      <w:r w:rsidR="00F1473E">
        <w:rPr>
          <w:sz w:val="22"/>
          <w:szCs w:val="22"/>
          <w:lang w:eastAsia="fr-FR"/>
        </w:rPr>
        <w:t>of</w:t>
      </w:r>
      <w:r>
        <w:rPr>
          <w:sz w:val="22"/>
          <w:szCs w:val="22"/>
          <w:lang w:eastAsia="fr-FR"/>
        </w:rPr>
        <w:t xml:space="preserve"> UCITS</w:t>
      </w:r>
      <w:r w:rsidR="00F1473E">
        <w:rPr>
          <w:sz w:val="22"/>
          <w:szCs w:val="22"/>
          <w:lang w:eastAsia="fr-FR"/>
        </w:rPr>
        <w:t xml:space="preserve"> above EUR 1 billion</w:t>
      </w:r>
      <w:r>
        <w:rPr>
          <w:sz w:val="22"/>
          <w:szCs w:val="22"/>
          <w:lang w:eastAsia="fr-FR"/>
        </w:rPr>
        <w:t xml:space="preserve"> were </w:t>
      </w:r>
      <w:r w:rsidR="0024231F" w:rsidRPr="00400550">
        <w:rPr>
          <w:sz w:val="22"/>
          <w:szCs w:val="22"/>
          <w:lang w:eastAsia="fr-FR"/>
        </w:rPr>
        <w:t>Ireland</w:t>
      </w:r>
      <w:r w:rsidR="0024231F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(EUR </w:t>
      </w:r>
      <w:r w:rsidR="0024231F">
        <w:rPr>
          <w:sz w:val="22"/>
          <w:szCs w:val="22"/>
          <w:lang w:eastAsia="fr-FR"/>
        </w:rPr>
        <w:t>4.1</w:t>
      </w:r>
      <w:r>
        <w:rPr>
          <w:sz w:val="22"/>
          <w:szCs w:val="22"/>
          <w:lang w:eastAsia="fr-FR"/>
        </w:rPr>
        <w:t xml:space="preserve"> billion), followed by</w:t>
      </w:r>
      <w:r w:rsidR="0024231F">
        <w:rPr>
          <w:sz w:val="22"/>
          <w:szCs w:val="22"/>
          <w:lang w:eastAsia="fr-FR"/>
        </w:rPr>
        <w:t xml:space="preserve"> Switzerland</w:t>
      </w:r>
      <w:r>
        <w:rPr>
          <w:sz w:val="22"/>
          <w:szCs w:val="22"/>
          <w:lang w:eastAsia="fr-FR"/>
        </w:rPr>
        <w:t xml:space="preserve"> (EUR </w:t>
      </w:r>
      <w:r w:rsidR="0024231F">
        <w:rPr>
          <w:sz w:val="22"/>
          <w:szCs w:val="22"/>
          <w:lang w:eastAsia="fr-FR"/>
        </w:rPr>
        <w:t>3.7</w:t>
      </w:r>
      <w:r>
        <w:rPr>
          <w:sz w:val="22"/>
          <w:szCs w:val="22"/>
          <w:lang w:eastAsia="fr-FR"/>
        </w:rPr>
        <w:t xml:space="preserve"> billion), </w:t>
      </w:r>
      <w:r w:rsidR="0024231F" w:rsidRPr="00400550">
        <w:rPr>
          <w:sz w:val="22"/>
          <w:szCs w:val="22"/>
          <w:lang w:eastAsia="fr-FR"/>
        </w:rPr>
        <w:t>Luxembourg</w:t>
      </w:r>
      <w:r>
        <w:rPr>
          <w:sz w:val="22"/>
          <w:szCs w:val="22"/>
          <w:lang w:eastAsia="fr-FR"/>
        </w:rPr>
        <w:t xml:space="preserve"> (EUR </w:t>
      </w:r>
      <w:r w:rsidR="0024231F">
        <w:rPr>
          <w:sz w:val="22"/>
          <w:szCs w:val="22"/>
          <w:lang w:eastAsia="fr-FR"/>
        </w:rPr>
        <w:t>3.2</w:t>
      </w:r>
      <w:r>
        <w:rPr>
          <w:sz w:val="22"/>
          <w:szCs w:val="22"/>
          <w:lang w:eastAsia="fr-FR"/>
        </w:rPr>
        <w:t xml:space="preserve"> billion), </w:t>
      </w:r>
      <w:r w:rsidR="0024231F">
        <w:rPr>
          <w:sz w:val="22"/>
          <w:szCs w:val="22"/>
          <w:lang w:eastAsia="fr-FR"/>
        </w:rPr>
        <w:t xml:space="preserve">Germany </w:t>
      </w:r>
      <w:r>
        <w:rPr>
          <w:sz w:val="22"/>
          <w:szCs w:val="22"/>
          <w:lang w:eastAsia="fr-FR"/>
        </w:rPr>
        <w:t xml:space="preserve">(EUR </w:t>
      </w:r>
      <w:r w:rsidR="0024231F">
        <w:rPr>
          <w:sz w:val="22"/>
          <w:szCs w:val="22"/>
          <w:lang w:eastAsia="fr-FR"/>
        </w:rPr>
        <w:t xml:space="preserve">2.1 </w:t>
      </w:r>
      <w:r w:rsidR="004E32B2">
        <w:rPr>
          <w:sz w:val="22"/>
          <w:szCs w:val="22"/>
          <w:lang w:eastAsia="fr-FR"/>
        </w:rPr>
        <w:t>billion</w:t>
      </w:r>
      <w:r>
        <w:rPr>
          <w:sz w:val="22"/>
          <w:szCs w:val="22"/>
          <w:lang w:eastAsia="fr-FR"/>
        </w:rPr>
        <w:t xml:space="preserve">), </w:t>
      </w:r>
      <w:r w:rsidR="0024231F">
        <w:rPr>
          <w:sz w:val="22"/>
          <w:szCs w:val="22"/>
          <w:lang w:eastAsia="fr-FR"/>
        </w:rPr>
        <w:t>Sweden</w:t>
      </w:r>
      <w:r>
        <w:rPr>
          <w:sz w:val="22"/>
          <w:szCs w:val="22"/>
          <w:lang w:eastAsia="fr-FR"/>
        </w:rPr>
        <w:t xml:space="preserve"> (EUR </w:t>
      </w:r>
      <w:r w:rsidR="0024231F">
        <w:rPr>
          <w:sz w:val="22"/>
          <w:szCs w:val="22"/>
          <w:lang w:eastAsia="fr-FR"/>
        </w:rPr>
        <w:t>1.7</w:t>
      </w:r>
      <w:r>
        <w:rPr>
          <w:sz w:val="22"/>
          <w:szCs w:val="22"/>
          <w:lang w:eastAsia="fr-FR"/>
        </w:rPr>
        <w:t xml:space="preserve"> </w:t>
      </w:r>
      <w:r w:rsidR="004E32B2">
        <w:rPr>
          <w:sz w:val="22"/>
          <w:szCs w:val="22"/>
          <w:lang w:eastAsia="fr-FR"/>
        </w:rPr>
        <w:t>billion</w:t>
      </w:r>
      <w:r>
        <w:rPr>
          <w:sz w:val="22"/>
          <w:szCs w:val="22"/>
          <w:lang w:eastAsia="fr-FR"/>
        </w:rPr>
        <w:t>)</w:t>
      </w:r>
      <w:r w:rsidR="00F1473E">
        <w:rPr>
          <w:sz w:val="22"/>
          <w:szCs w:val="22"/>
          <w:lang w:eastAsia="fr-FR"/>
        </w:rPr>
        <w:t xml:space="preserve">, </w:t>
      </w:r>
      <w:r w:rsidR="00090134">
        <w:rPr>
          <w:sz w:val="22"/>
          <w:szCs w:val="22"/>
          <w:lang w:eastAsia="fr-FR"/>
        </w:rPr>
        <w:t>Norway (EUR 1.4 billion) and Denmark (EUR 1.1 billion)</w:t>
      </w:r>
      <w:r>
        <w:rPr>
          <w:sz w:val="22"/>
          <w:szCs w:val="22"/>
          <w:lang w:eastAsia="fr-FR"/>
        </w:rPr>
        <w:t xml:space="preserve">. </w:t>
      </w:r>
    </w:p>
    <w:p w14:paraId="03A0EB1B" w14:textId="3169C91D" w:rsidR="0024231F" w:rsidRDefault="0024231F" w:rsidP="009D4CAE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4F681D62" w14:textId="69972D4C" w:rsidR="0024231F" w:rsidRDefault="00090134" w:rsidP="009D4CAE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During the first three quarters of 2018, twenty countries registered net inflows, with </w:t>
      </w:r>
      <w:r w:rsidR="00F8578F">
        <w:rPr>
          <w:sz w:val="22"/>
          <w:szCs w:val="22"/>
          <w:lang w:eastAsia="fr-FR"/>
        </w:rPr>
        <w:t xml:space="preserve">the </w:t>
      </w:r>
      <w:r w:rsidR="00DE2725">
        <w:rPr>
          <w:sz w:val="22"/>
          <w:szCs w:val="22"/>
          <w:lang w:eastAsia="fr-FR"/>
        </w:rPr>
        <w:t>large</w:t>
      </w:r>
      <w:r w:rsidR="00F8578F">
        <w:rPr>
          <w:sz w:val="22"/>
          <w:szCs w:val="22"/>
          <w:lang w:eastAsia="fr-FR"/>
        </w:rPr>
        <w:t>st</w:t>
      </w:r>
      <w:r>
        <w:rPr>
          <w:sz w:val="22"/>
          <w:szCs w:val="22"/>
          <w:lang w:eastAsia="fr-FR"/>
        </w:rPr>
        <w:t xml:space="preserve"> inflows in Luxembourg (EUR 76.1 billion), </w:t>
      </w:r>
      <w:r w:rsidRPr="00090134">
        <w:rPr>
          <w:sz w:val="22"/>
          <w:szCs w:val="22"/>
          <w:lang w:eastAsia="fr-FR"/>
        </w:rPr>
        <w:t xml:space="preserve">Ireland (EUR </w:t>
      </w:r>
      <w:r>
        <w:rPr>
          <w:sz w:val="22"/>
          <w:szCs w:val="22"/>
          <w:lang w:eastAsia="fr-FR"/>
        </w:rPr>
        <w:t xml:space="preserve">49.5 </w:t>
      </w:r>
      <w:r w:rsidRPr="00090134">
        <w:rPr>
          <w:sz w:val="22"/>
          <w:szCs w:val="22"/>
          <w:lang w:eastAsia="fr-FR"/>
        </w:rPr>
        <w:t>billion)</w:t>
      </w:r>
      <w:r>
        <w:rPr>
          <w:sz w:val="22"/>
          <w:szCs w:val="22"/>
          <w:lang w:eastAsia="fr-FR"/>
        </w:rPr>
        <w:t>, France (EUR 19.7 billion), Spain (EUR 14 billion) and Switzerland (EUR 10.5 billion).</w:t>
      </w:r>
    </w:p>
    <w:p w14:paraId="2B9C8F8D" w14:textId="61CEEBCA" w:rsidR="001142A5" w:rsidRPr="00FD75CC" w:rsidRDefault="001142A5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BD44A" w14:textId="585CF631" w:rsidR="001142A5" w:rsidRPr="00FD75CC" w:rsidRDefault="00A84EA0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4EA0">
        <w:rPr>
          <w:noProof/>
          <w:lang w:val="en-US"/>
        </w:rPr>
        <w:drawing>
          <wp:anchor distT="0" distB="0" distL="114300" distR="114300" simplePos="0" relativeHeight="251745280" behindDoc="0" locked="0" layoutInCell="1" allowOverlap="1" wp14:anchorId="72DC1BAD" wp14:editId="4EABA800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6263640" cy="5949653"/>
            <wp:effectExtent l="0" t="0" r="381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024BD9FA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and Net Assets of ETF by Country of Domiciliation </w:t>
      </w:r>
    </w:p>
    <w:p w14:paraId="32F5FD0D" w14:textId="77777777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60E015EF" w14:textId="0A56C90B" w:rsidR="009D4CAE" w:rsidRDefault="009D4CAE" w:rsidP="009D4CAE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UCITS ETF amounted to EUR </w:t>
      </w:r>
      <w:r w:rsidR="00004578">
        <w:rPr>
          <w:b/>
          <w:color w:val="0000FF"/>
          <w:sz w:val="22"/>
          <w:szCs w:val="22"/>
          <w:lang w:eastAsia="fr-FR"/>
        </w:rPr>
        <w:t>12</w:t>
      </w:r>
      <w:r>
        <w:rPr>
          <w:b/>
          <w:color w:val="0000FF"/>
          <w:sz w:val="22"/>
          <w:szCs w:val="22"/>
          <w:lang w:eastAsia="fr-FR"/>
        </w:rPr>
        <w:t xml:space="preserve"> billion in Q3 201</w:t>
      </w:r>
      <w:r w:rsidR="00572774">
        <w:rPr>
          <w:b/>
          <w:color w:val="0000FF"/>
          <w:sz w:val="22"/>
          <w:szCs w:val="22"/>
          <w:lang w:eastAsia="fr-FR"/>
        </w:rPr>
        <w:t>8</w:t>
      </w:r>
      <w:r>
        <w:rPr>
          <w:b/>
          <w:color w:val="0000FF"/>
          <w:sz w:val="22"/>
          <w:szCs w:val="22"/>
          <w:lang w:eastAsia="fr-FR"/>
        </w:rPr>
        <w:t xml:space="preserve">, </w:t>
      </w:r>
      <w:r w:rsidR="00572774">
        <w:rPr>
          <w:b/>
          <w:color w:val="0000FF"/>
          <w:sz w:val="22"/>
          <w:szCs w:val="22"/>
          <w:lang w:eastAsia="fr-FR"/>
        </w:rPr>
        <w:t xml:space="preserve">compared to net outflows of </w:t>
      </w:r>
      <w:r>
        <w:rPr>
          <w:b/>
          <w:color w:val="0000FF"/>
          <w:sz w:val="22"/>
          <w:szCs w:val="22"/>
          <w:lang w:eastAsia="fr-FR"/>
        </w:rPr>
        <w:t xml:space="preserve">EUR 20 billion in the second quarter. UCITS ETF have attracted net sales of EUR </w:t>
      </w:r>
      <w:r w:rsidR="00572774">
        <w:rPr>
          <w:b/>
          <w:color w:val="0000FF"/>
          <w:sz w:val="22"/>
          <w:szCs w:val="22"/>
          <w:lang w:eastAsia="fr-FR"/>
        </w:rPr>
        <w:t>15</w:t>
      </w:r>
      <w:r>
        <w:rPr>
          <w:b/>
          <w:color w:val="0000FF"/>
          <w:sz w:val="22"/>
          <w:szCs w:val="22"/>
          <w:lang w:eastAsia="fr-FR"/>
        </w:rPr>
        <w:t xml:space="preserve"> billion so far this year.</w:t>
      </w:r>
    </w:p>
    <w:p w14:paraId="0FB661C5" w14:textId="77777777" w:rsidR="009D4CAE" w:rsidRDefault="009D4CAE" w:rsidP="009D4CAE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5EDFFF3A" w14:textId="67B1AB0D" w:rsidR="00D9346A" w:rsidRDefault="009D4CAE" w:rsidP="00D9346A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UCITS ETF domiciled in Ireland registered the largest net sales during the quarter (EUR </w:t>
      </w:r>
      <w:r w:rsidR="00572774">
        <w:rPr>
          <w:sz w:val="22"/>
          <w:szCs w:val="22"/>
          <w:lang w:eastAsia="fr-FR"/>
        </w:rPr>
        <w:t>7.</w:t>
      </w:r>
      <w:r w:rsidR="00613988">
        <w:rPr>
          <w:sz w:val="22"/>
          <w:szCs w:val="22"/>
          <w:lang w:eastAsia="fr-FR"/>
        </w:rPr>
        <w:t>3</w:t>
      </w:r>
      <w:r>
        <w:rPr>
          <w:sz w:val="22"/>
          <w:szCs w:val="22"/>
          <w:lang w:eastAsia="fr-FR"/>
        </w:rPr>
        <w:t xml:space="preserve"> billion</w:t>
      </w:r>
      <w:r w:rsidR="00613988">
        <w:rPr>
          <w:sz w:val="22"/>
          <w:szCs w:val="22"/>
          <w:lang w:eastAsia="fr-FR"/>
        </w:rPr>
        <w:t>)</w:t>
      </w:r>
      <w:r>
        <w:rPr>
          <w:sz w:val="22"/>
          <w:szCs w:val="22"/>
          <w:lang w:eastAsia="fr-FR"/>
        </w:rPr>
        <w:t xml:space="preserve">, followed by </w:t>
      </w:r>
      <w:r w:rsidR="00572774">
        <w:rPr>
          <w:sz w:val="22"/>
          <w:szCs w:val="22"/>
          <w:lang w:eastAsia="fr-FR"/>
        </w:rPr>
        <w:t>Luxembourg</w:t>
      </w:r>
      <w:r>
        <w:rPr>
          <w:sz w:val="22"/>
          <w:szCs w:val="22"/>
          <w:lang w:eastAsia="fr-FR"/>
        </w:rPr>
        <w:t xml:space="preserve"> (EUR </w:t>
      </w:r>
      <w:r w:rsidR="00572774">
        <w:rPr>
          <w:sz w:val="22"/>
          <w:szCs w:val="22"/>
          <w:lang w:eastAsia="fr-FR"/>
        </w:rPr>
        <w:t>5.3</w:t>
      </w:r>
      <w:r>
        <w:rPr>
          <w:sz w:val="22"/>
          <w:szCs w:val="22"/>
          <w:lang w:eastAsia="fr-FR"/>
        </w:rPr>
        <w:t xml:space="preserve"> billion). Looking at </w:t>
      </w:r>
      <w:r w:rsidR="0089551C">
        <w:rPr>
          <w:sz w:val="22"/>
          <w:szCs w:val="22"/>
          <w:lang w:eastAsia="fr-FR"/>
        </w:rPr>
        <w:t xml:space="preserve">net </w:t>
      </w:r>
      <w:r>
        <w:rPr>
          <w:sz w:val="22"/>
          <w:szCs w:val="22"/>
          <w:lang w:eastAsia="fr-FR"/>
        </w:rPr>
        <w:t>sales</w:t>
      </w:r>
      <w:r w:rsidR="0089551C">
        <w:rPr>
          <w:sz w:val="22"/>
          <w:szCs w:val="22"/>
          <w:lang w:eastAsia="fr-FR"/>
        </w:rPr>
        <w:t xml:space="preserve"> in Q1-Q3 2018</w:t>
      </w:r>
      <w:r>
        <w:rPr>
          <w:sz w:val="22"/>
          <w:szCs w:val="22"/>
          <w:lang w:eastAsia="fr-FR"/>
        </w:rPr>
        <w:t xml:space="preserve">, </w:t>
      </w:r>
      <w:r w:rsidR="00572774">
        <w:rPr>
          <w:sz w:val="22"/>
          <w:szCs w:val="22"/>
          <w:lang w:eastAsia="fr-FR"/>
        </w:rPr>
        <w:t xml:space="preserve">Luxembourg </w:t>
      </w:r>
      <w:r>
        <w:rPr>
          <w:sz w:val="22"/>
          <w:szCs w:val="22"/>
          <w:lang w:eastAsia="fr-FR"/>
        </w:rPr>
        <w:t xml:space="preserve">attracted the largest net sales (EUR </w:t>
      </w:r>
      <w:r w:rsidR="00572774">
        <w:rPr>
          <w:sz w:val="22"/>
          <w:szCs w:val="22"/>
          <w:lang w:eastAsia="fr-FR"/>
        </w:rPr>
        <w:t>28.3</w:t>
      </w:r>
      <w:r>
        <w:rPr>
          <w:sz w:val="22"/>
          <w:szCs w:val="22"/>
          <w:lang w:eastAsia="fr-FR"/>
        </w:rPr>
        <w:t xml:space="preserve"> billion)</w:t>
      </w:r>
      <w:r w:rsidR="00D9346A">
        <w:rPr>
          <w:sz w:val="22"/>
          <w:szCs w:val="22"/>
          <w:lang w:eastAsia="fr-FR"/>
        </w:rPr>
        <w:t xml:space="preserve">, </w:t>
      </w:r>
      <w:r w:rsidR="00004578">
        <w:rPr>
          <w:sz w:val="22"/>
          <w:szCs w:val="22"/>
          <w:lang w:eastAsia="fr-FR"/>
        </w:rPr>
        <w:t xml:space="preserve">followed by Ireland </w:t>
      </w:r>
      <w:r w:rsidR="00004578" w:rsidRPr="00004578">
        <w:rPr>
          <w:sz w:val="22"/>
          <w:szCs w:val="22"/>
          <w:lang w:eastAsia="fr-FR"/>
        </w:rPr>
        <w:t>(EUR 2</w:t>
      </w:r>
      <w:r w:rsidR="00004578">
        <w:rPr>
          <w:sz w:val="22"/>
          <w:szCs w:val="22"/>
          <w:lang w:eastAsia="fr-FR"/>
        </w:rPr>
        <w:t>5</w:t>
      </w:r>
      <w:r w:rsidR="00004578" w:rsidRPr="00004578">
        <w:rPr>
          <w:sz w:val="22"/>
          <w:szCs w:val="22"/>
          <w:lang w:eastAsia="fr-FR"/>
        </w:rPr>
        <w:t>.</w:t>
      </w:r>
      <w:r w:rsidR="00004578">
        <w:rPr>
          <w:sz w:val="22"/>
          <w:szCs w:val="22"/>
          <w:lang w:eastAsia="fr-FR"/>
        </w:rPr>
        <w:t xml:space="preserve">4 </w:t>
      </w:r>
      <w:r w:rsidR="00004578" w:rsidRPr="00004578">
        <w:rPr>
          <w:sz w:val="22"/>
          <w:szCs w:val="22"/>
          <w:lang w:eastAsia="fr-FR"/>
        </w:rPr>
        <w:t>billion</w:t>
      </w:r>
      <w:r w:rsidR="00004578">
        <w:rPr>
          <w:sz w:val="22"/>
          <w:szCs w:val="22"/>
          <w:lang w:eastAsia="fr-FR"/>
        </w:rPr>
        <w:t>),</w:t>
      </w:r>
      <w:r w:rsidR="00004578" w:rsidRPr="00004578">
        <w:rPr>
          <w:sz w:val="22"/>
          <w:szCs w:val="22"/>
          <w:lang w:eastAsia="fr-FR"/>
        </w:rPr>
        <w:t xml:space="preserve"> </w:t>
      </w:r>
      <w:r w:rsidR="00D9346A">
        <w:rPr>
          <w:sz w:val="22"/>
          <w:szCs w:val="22"/>
          <w:lang w:eastAsia="fr-FR"/>
        </w:rPr>
        <w:t>whereas France has experienced net outflows (EUR 37.6 billion).</w:t>
      </w:r>
    </w:p>
    <w:p w14:paraId="5BF90F2F" w14:textId="38D5460A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7CC8554A" w14:textId="6871CB1D" w:rsidR="00762383" w:rsidRPr="00FD75CC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7CE235" w14:textId="708A1184" w:rsidR="00762383" w:rsidRPr="00762383" w:rsidRDefault="00A84EA0" w:rsidP="00762383">
      <w:r w:rsidRPr="00A84EA0">
        <w:rPr>
          <w:noProof/>
        </w:rPr>
        <w:drawing>
          <wp:anchor distT="0" distB="0" distL="114300" distR="114300" simplePos="0" relativeHeight="251746304" behindDoc="0" locked="0" layoutInCell="1" allowOverlap="1" wp14:anchorId="16F5F236" wp14:editId="430664E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684203" cy="3654000"/>
            <wp:effectExtent l="0" t="0" r="254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203" cy="36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EDB80" w14:textId="1B35EA31" w:rsidR="00762383" w:rsidRPr="00762383" w:rsidRDefault="00762383" w:rsidP="00762383"/>
    <w:p w14:paraId="4537ABF2" w14:textId="5ACADEBA" w:rsidR="00762383" w:rsidRPr="00762383" w:rsidRDefault="00762383" w:rsidP="00762383"/>
    <w:p w14:paraId="03CC32B7" w14:textId="7B732CFC" w:rsidR="00762383" w:rsidRPr="00762383" w:rsidRDefault="00762383" w:rsidP="00762383"/>
    <w:p w14:paraId="4BC25B1D" w14:textId="5EAF148B" w:rsidR="00762383" w:rsidRPr="00762383" w:rsidRDefault="00762383" w:rsidP="00762383"/>
    <w:p w14:paraId="7A2E500F" w14:textId="5066091E" w:rsidR="00762383" w:rsidRPr="00762383" w:rsidRDefault="00762383" w:rsidP="00762383"/>
    <w:p w14:paraId="5DC23833" w14:textId="77777777" w:rsidR="00762383" w:rsidRPr="00762383" w:rsidRDefault="00762383" w:rsidP="00762383"/>
    <w:p w14:paraId="7EF2D3F7" w14:textId="47A70D64" w:rsidR="00762383" w:rsidRPr="00762383" w:rsidRDefault="00762383" w:rsidP="00762383"/>
    <w:p w14:paraId="44BAA9F5" w14:textId="0DF1477F" w:rsidR="00762383" w:rsidRPr="00762383" w:rsidRDefault="00762383" w:rsidP="00762383"/>
    <w:p w14:paraId="48170654" w14:textId="77777777" w:rsidR="00762383" w:rsidRPr="00762383" w:rsidRDefault="00762383" w:rsidP="00762383"/>
    <w:p w14:paraId="365A94B1" w14:textId="7C1A471F" w:rsidR="00762383" w:rsidRPr="00762383" w:rsidRDefault="00762383" w:rsidP="00762383"/>
    <w:p w14:paraId="4C070B6A" w14:textId="246A1092" w:rsidR="00762383" w:rsidRPr="00762383" w:rsidRDefault="00762383" w:rsidP="00762383"/>
    <w:p w14:paraId="454DB56D" w14:textId="11CAA518" w:rsidR="00762383" w:rsidRPr="00762383" w:rsidRDefault="00762383" w:rsidP="00762383"/>
    <w:p w14:paraId="51360138" w14:textId="16E14AF4" w:rsidR="00762383" w:rsidRPr="00762383" w:rsidRDefault="00762383" w:rsidP="00762383"/>
    <w:p w14:paraId="1FD9AD65" w14:textId="57C8944B" w:rsidR="00762383" w:rsidRPr="00762383" w:rsidRDefault="00762383" w:rsidP="00762383"/>
    <w:p w14:paraId="7CDDAC51" w14:textId="3FF66F60" w:rsidR="00762383" w:rsidRPr="00762383" w:rsidRDefault="00762383" w:rsidP="00762383"/>
    <w:p w14:paraId="5F289B35" w14:textId="44A8F761" w:rsidR="00762383" w:rsidRPr="00762383" w:rsidRDefault="00762383" w:rsidP="00762383"/>
    <w:p w14:paraId="33D71CCB" w14:textId="7A4874D8" w:rsidR="00762383" w:rsidRPr="00762383" w:rsidRDefault="00762383" w:rsidP="00762383"/>
    <w:p w14:paraId="5E7857BC" w14:textId="23C243D1" w:rsidR="00762383" w:rsidRPr="00762383" w:rsidRDefault="00762383" w:rsidP="00762383"/>
    <w:p w14:paraId="49CAA5C8" w14:textId="46B6B8B9" w:rsidR="00762383" w:rsidRPr="00762383" w:rsidRDefault="00762383" w:rsidP="00762383"/>
    <w:p w14:paraId="7E46C55D" w14:textId="45246483" w:rsidR="00762383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14:paraId="7C0E8D92" w14:textId="59C39B64" w:rsidR="00762383" w:rsidRPr="00E45F90" w:rsidRDefault="00762383" w:rsidP="00762383">
      <w:pPr>
        <w:rPr>
          <w:lang w:val="en-GB"/>
        </w:rPr>
      </w:pPr>
    </w:p>
    <w:p w14:paraId="555A25EE" w14:textId="3B847D34" w:rsidR="00762383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14:paraId="7E6DFA18" w14:textId="22B9B468" w:rsidR="00762383" w:rsidRDefault="00122D70" w:rsidP="00762383">
      <w:pPr>
        <w:pStyle w:val="Footer"/>
        <w:tabs>
          <w:tab w:val="left" w:pos="720"/>
          <w:tab w:val="left" w:pos="2970"/>
          <w:tab w:val="left" w:pos="3960"/>
          <w:tab w:val="left" w:pos="4320"/>
        </w:tabs>
        <w:spacing w:line="260" w:lineRule="exact"/>
        <w:outlineLvl w:val="0"/>
      </w:pPr>
      <w:r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57C791D4" wp14:editId="5987FAC6">
            <wp:simplePos x="0" y="0"/>
            <wp:positionH relativeFrom="margin">
              <wp:posOffset>817880</wp:posOffset>
            </wp:positionH>
            <wp:positionV relativeFrom="paragraph">
              <wp:posOffset>12065</wp:posOffset>
            </wp:positionV>
            <wp:extent cx="4683600" cy="2852250"/>
            <wp:effectExtent l="0" t="0" r="3175" b="57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600" cy="285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83">
        <w:tab/>
      </w:r>
      <w:r w:rsidR="00762383">
        <w:tab/>
      </w:r>
      <w:r w:rsidR="00762383">
        <w:tab/>
      </w:r>
      <w:r w:rsidR="00762383">
        <w:tab/>
      </w:r>
    </w:p>
    <w:p w14:paraId="5C20545E" w14:textId="38A4B998" w:rsidR="001142A5" w:rsidRPr="00FD75CC" w:rsidRDefault="001142A5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2383"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5F51787B" w14:textId="5472118E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</w:t>
      </w:r>
      <w:r w:rsidR="00C91E1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Number of Funds</w:t>
      </w: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Investment Type</w:t>
      </w:r>
    </w:p>
    <w:p w14:paraId="5387FAD2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2456AE8C" w14:textId="3CDCA0A7" w:rsidR="009D4CAE" w:rsidRDefault="009D4CAE" w:rsidP="009D4CAE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  <w:r>
        <w:rPr>
          <w:b/>
          <w:color w:val="0000FF"/>
          <w:sz w:val="22"/>
          <w:szCs w:val="22"/>
          <w:lang w:val="en-US"/>
        </w:rPr>
        <w:t xml:space="preserve">Net assets of UCITS increased by </w:t>
      </w:r>
      <w:r w:rsidR="008A0A68">
        <w:rPr>
          <w:b/>
          <w:color w:val="0000FF"/>
          <w:sz w:val="22"/>
          <w:szCs w:val="22"/>
          <w:lang w:val="en-US"/>
        </w:rPr>
        <w:t>1.1</w:t>
      </w:r>
      <w:r>
        <w:rPr>
          <w:b/>
          <w:color w:val="0000FF"/>
          <w:sz w:val="22"/>
          <w:szCs w:val="22"/>
          <w:lang w:val="en-US"/>
        </w:rPr>
        <w:t xml:space="preserve">% </w:t>
      </w:r>
      <w:r w:rsidR="00E06FFF">
        <w:rPr>
          <w:b/>
          <w:color w:val="0000FF"/>
          <w:sz w:val="22"/>
          <w:szCs w:val="22"/>
          <w:lang w:val="en-US"/>
        </w:rPr>
        <w:t xml:space="preserve">in Q3 </w:t>
      </w:r>
      <w:r>
        <w:rPr>
          <w:b/>
          <w:color w:val="0000FF"/>
          <w:sz w:val="22"/>
          <w:szCs w:val="22"/>
          <w:lang w:val="en-US"/>
        </w:rPr>
        <w:t>to reach EUR 9,</w:t>
      </w:r>
      <w:r w:rsidR="008A0A68">
        <w:rPr>
          <w:b/>
          <w:color w:val="0000FF"/>
          <w:sz w:val="22"/>
          <w:szCs w:val="22"/>
          <w:lang w:val="en-US"/>
        </w:rPr>
        <w:t>968</w:t>
      </w:r>
      <w:r>
        <w:rPr>
          <w:b/>
          <w:color w:val="0000FF"/>
          <w:sz w:val="22"/>
          <w:szCs w:val="22"/>
          <w:lang w:val="en-US"/>
        </w:rPr>
        <w:t xml:space="preserve"> billion</w:t>
      </w:r>
      <w:r w:rsidR="00E06FFF">
        <w:rPr>
          <w:b/>
          <w:color w:val="0000FF"/>
          <w:sz w:val="22"/>
          <w:szCs w:val="22"/>
          <w:lang w:val="en-US"/>
        </w:rPr>
        <w:t>.</w:t>
      </w:r>
    </w:p>
    <w:p w14:paraId="568E8B20" w14:textId="77777777" w:rsidR="0089551C" w:rsidRDefault="0089551C" w:rsidP="009D4CAE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</w:p>
    <w:p w14:paraId="0DB96994" w14:textId="4D637145" w:rsidR="00E90FE9" w:rsidRPr="008A0A68" w:rsidRDefault="00E06FFF" w:rsidP="00E90FE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Equity </w:t>
      </w:r>
      <w:r w:rsidR="00E90FE9" w:rsidRPr="008A0A68">
        <w:rPr>
          <w:sz w:val="22"/>
          <w:szCs w:val="22"/>
          <w:lang w:val="en-US"/>
        </w:rPr>
        <w:t xml:space="preserve">funds </w:t>
      </w:r>
      <w:r w:rsidR="008A0A68">
        <w:rPr>
          <w:sz w:val="22"/>
          <w:szCs w:val="22"/>
          <w:lang w:val="en-US"/>
        </w:rPr>
        <w:t>recorded the largest increase in net assets (2.3%)</w:t>
      </w:r>
      <w:r>
        <w:rPr>
          <w:sz w:val="22"/>
          <w:szCs w:val="22"/>
          <w:lang w:val="en-US"/>
        </w:rPr>
        <w:t xml:space="preserve"> in Q3 2018</w:t>
      </w:r>
      <w:r w:rsidR="008A0A68">
        <w:rPr>
          <w:sz w:val="22"/>
          <w:szCs w:val="22"/>
          <w:lang w:val="en-US"/>
        </w:rPr>
        <w:t xml:space="preserve">, followed by </w:t>
      </w:r>
      <w:r w:rsidR="0089551C">
        <w:rPr>
          <w:sz w:val="22"/>
          <w:szCs w:val="22"/>
          <w:lang w:val="en-US"/>
        </w:rPr>
        <w:t xml:space="preserve">multi-asset funds </w:t>
      </w:r>
      <w:r w:rsidR="008A0A68" w:rsidRPr="008A0A68">
        <w:rPr>
          <w:sz w:val="22"/>
          <w:szCs w:val="22"/>
          <w:lang w:val="en-US"/>
        </w:rPr>
        <w:t>(1.</w:t>
      </w:r>
      <w:r w:rsidR="008A0A68">
        <w:rPr>
          <w:sz w:val="22"/>
          <w:szCs w:val="22"/>
          <w:lang w:val="en-US"/>
        </w:rPr>
        <w:t>7</w:t>
      </w:r>
      <w:r w:rsidR="008A0A68" w:rsidRPr="008A0A68">
        <w:rPr>
          <w:sz w:val="22"/>
          <w:szCs w:val="22"/>
          <w:lang w:val="en-US"/>
        </w:rPr>
        <w:t>%)</w:t>
      </w:r>
      <w:r w:rsidR="008A0A68">
        <w:rPr>
          <w:sz w:val="22"/>
          <w:szCs w:val="22"/>
          <w:lang w:val="en-US"/>
        </w:rPr>
        <w:t>, and</w:t>
      </w:r>
      <w:r w:rsidR="004004C3">
        <w:rPr>
          <w:sz w:val="22"/>
          <w:szCs w:val="22"/>
          <w:lang w:val="en-US"/>
        </w:rPr>
        <w:t xml:space="preserve"> </w:t>
      </w:r>
      <w:r w:rsidR="008A0A68">
        <w:rPr>
          <w:sz w:val="22"/>
          <w:szCs w:val="22"/>
          <w:lang w:val="en-US"/>
        </w:rPr>
        <w:t>bond funds (</w:t>
      </w:r>
      <w:r w:rsidR="00F9052B" w:rsidRPr="008A0A68">
        <w:rPr>
          <w:sz w:val="22"/>
          <w:szCs w:val="22"/>
          <w:lang w:val="en-US"/>
        </w:rPr>
        <w:t>0.</w:t>
      </w:r>
      <w:r w:rsidR="000D2397" w:rsidRPr="008A0A68">
        <w:rPr>
          <w:sz w:val="22"/>
          <w:szCs w:val="22"/>
          <w:lang w:val="en-US"/>
        </w:rPr>
        <w:t>3</w:t>
      </w:r>
      <w:r w:rsidR="00F9052B" w:rsidRPr="008A0A68">
        <w:rPr>
          <w:sz w:val="22"/>
          <w:szCs w:val="22"/>
          <w:lang w:val="en-US"/>
        </w:rPr>
        <w:t>%</w:t>
      </w:r>
      <w:r w:rsidR="008A0A68">
        <w:rPr>
          <w:sz w:val="22"/>
          <w:szCs w:val="22"/>
          <w:lang w:val="en-US"/>
        </w:rPr>
        <w:t>)</w:t>
      </w:r>
      <w:r w:rsidR="00E90FE9" w:rsidRPr="008A0A68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Decreases in net assets were registered in g</w:t>
      </w:r>
      <w:r w:rsidR="00E90FE9" w:rsidRPr="008A0A68">
        <w:rPr>
          <w:sz w:val="22"/>
          <w:szCs w:val="22"/>
          <w:lang w:val="en-US"/>
        </w:rPr>
        <w:t>uaranteed/protected funds</w:t>
      </w:r>
      <w:r>
        <w:rPr>
          <w:sz w:val="22"/>
          <w:szCs w:val="22"/>
          <w:lang w:val="en-US"/>
        </w:rPr>
        <w:t xml:space="preserve"> (5.0%),</w:t>
      </w:r>
      <w:r w:rsidR="00E90FE9" w:rsidRPr="008A0A68">
        <w:rPr>
          <w:sz w:val="22"/>
          <w:szCs w:val="22"/>
          <w:lang w:val="en-US"/>
        </w:rPr>
        <w:t xml:space="preserve"> money market funds (0.</w:t>
      </w:r>
      <w:r w:rsidR="008F6962" w:rsidRPr="008A0A68">
        <w:rPr>
          <w:sz w:val="22"/>
          <w:szCs w:val="22"/>
          <w:lang w:val="en-US"/>
        </w:rPr>
        <w:t>9</w:t>
      </w:r>
      <w:r w:rsidR="00E90FE9" w:rsidRPr="008A0A68">
        <w:rPr>
          <w:sz w:val="22"/>
          <w:szCs w:val="22"/>
          <w:lang w:val="en-US"/>
        </w:rPr>
        <w:t xml:space="preserve">%) and </w:t>
      </w:r>
      <w:r w:rsidR="008F6962" w:rsidRPr="008A0A68">
        <w:rPr>
          <w:sz w:val="22"/>
          <w:szCs w:val="22"/>
          <w:lang w:val="en-US"/>
        </w:rPr>
        <w:t xml:space="preserve">other funds </w:t>
      </w:r>
      <w:r w:rsidR="00E90FE9" w:rsidRPr="008A0A68">
        <w:rPr>
          <w:sz w:val="22"/>
          <w:szCs w:val="22"/>
          <w:lang w:val="en-US"/>
        </w:rPr>
        <w:t>(0.</w:t>
      </w:r>
      <w:r w:rsidR="000D2397" w:rsidRPr="008A0A68">
        <w:rPr>
          <w:sz w:val="22"/>
          <w:szCs w:val="22"/>
          <w:lang w:val="en-US"/>
        </w:rPr>
        <w:t>6</w:t>
      </w:r>
      <w:r w:rsidR="00E90FE9" w:rsidRPr="008A0A68">
        <w:rPr>
          <w:sz w:val="22"/>
          <w:szCs w:val="22"/>
          <w:lang w:val="en-US"/>
        </w:rPr>
        <w:t>%)</w:t>
      </w:r>
      <w:r>
        <w:rPr>
          <w:sz w:val="22"/>
          <w:szCs w:val="22"/>
          <w:lang w:val="en-US"/>
        </w:rPr>
        <w:t>.</w:t>
      </w:r>
    </w:p>
    <w:p w14:paraId="3DCC1003" w14:textId="76B4A537" w:rsidR="00E90FE9" w:rsidRPr="008A0A68" w:rsidRDefault="00E90FE9" w:rsidP="00E90FE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61ECCBAE" w14:textId="502C8246" w:rsidR="00C56E58" w:rsidRPr="008A0A68" w:rsidRDefault="00C56E58" w:rsidP="00C56E58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  <w:r w:rsidRPr="008A0A68">
        <w:rPr>
          <w:sz w:val="22"/>
          <w:szCs w:val="22"/>
          <w:lang w:val="en-US"/>
        </w:rPr>
        <w:t xml:space="preserve">The number of UCITS </w:t>
      </w:r>
      <w:r w:rsidR="00AC6DB5" w:rsidRPr="008A0A68">
        <w:rPr>
          <w:sz w:val="22"/>
          <w:szCs w:val="22"/>
          <w:lang w:val="en-US"/>
        </w:rPr>
        <w:t>in</w:t>
      </w:r>
      <w:r w:rsidRPr="008A0A68">
        <w:rPr>
          <w:sz w:val="22"/>
          <w:szCs w:val="22"/>
          <w:lang w:val="en-US"/>
        </w:rPr>
        <w:t xml:space="preserve">creased </w:t>
      </w:r>
      <w:r w:rsidR="00AD18D3" w:rsidRPr="008A0A68">
        <w:rPr>
          <w:sz w:val="22"/>
          <w:szCs w:val="22"/>
          <w:lang w:val="en-US"/>
        </w:rPr>
        <w:t>by 0.</w:t>
      </w:r>
      <w:r w:rsidR="000D2397" w:rsidRPr="008A0A68">
        <w:rPr>
          <w:sz w:val="22"/>
          <w:szCs w:val="22"/>
          <w:lang w:val="en-US"/>
        </w:rPr>
        <w:t>8</w:t>
      </w:r>
      <w:r w:rsidR="00AD18D3" w:rsidRPr="008A0A68">
        <w:rPr>
          <w:sz w:val="22"/>
          <w:szCs w:val="22"/>
          <w:lang w:val="en-US"/>
        </w:rPr>
        <w:t xml:space="preserve">% </w:t>
      </w:r>
      <w:r w:rsidRPr="008A0A68">
        <w:rPr>
          <w:sz w:val="22"/>
          <w:szCs w:val="22"/>
          <w:lang w:val="en-US"/>
        </w:rPr>
        <w:t>from 32,727 at end Q2 2018 to 32,</w:t>
      </w:r>
      <w:r w:rsidR="000D2397" w:rsidRPr="008A0A68">
        <w:rPr>
          <w:sz w:val="22"/>
          <w:szCs w:val="22"/>
          <w:lang w:val="en-US"/>
        </w:rPr>
        <w:t>987</w:t>
      </w:r>
      <w:r w:rsidRPr="008A0A68">
        <w:rPr>
          <w:sz w:val="22"/>
          <w:szCs w:val="22"/>
          <w:lang w:val="en-US"/>
        </w:rPr>
        <w:t xml:space="preserve"> at end Q3 2018. </w:t>
      </w:r>
    </w:p>
    <w:p w14:paraId="226CBE10" w14:textId="18A5BEE2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0C42608" w14:textId="00D0C45A" w:rsidR="001142A5" w:rsidRPr="00FD75CC" w:rsidRDefault="00305A86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F76">
        <w:rPr>
          <w:noProof/>
          <w:lang w:val="en-US"/>
        </w:rPr>
        <w:drawing>
          <wp:anchor distT="0" distB="0" distL="114300" distR="114300" simplePos="0" relativeHeight="251755520" behindDoc="0" locked="0" layoutInCell="1" allowOverlap="1" wp14:anchorId="657FB1B5" wp14:editId="27C507B7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108400" cy="566298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400" cy="566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F3DFEA" w14:textId="2DA07C64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E1FA2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45DA4B" w14:textId="17C0E782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45752" w14:textId="72D00DE8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6CA17" w14:textId="3D380861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23C45F" w14:textId="50830AD4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315F8F" w14:textId="48296495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BABC5" w14:textId="289C7E76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696E99" w14:textId="4228724C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4A8BD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8A4D9B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FD8D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BED6BE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413607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C27FD0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AE1D2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A19C7C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FD452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27F4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E96A62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3163B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98AD2D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3865BA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343E6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70924A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A90283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24F6E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E01E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BFE0A" w14:textId="6FCE9C62" w:rsidR="001142A5" w:rsidRPr="00FD75CC" w:rsidRDefault="001142A5" w:rsidP="001142A5">
      <w:pPr>
        <w:pStyle w:val="Footer"/>
        <w:ind w:firstLine="2880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:lang w:val="en-US"/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1EADC0E5" w14:textId="463B2734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bookmarkEnd w:id="0"/>
    <w:p w14:paraId="0ACDD3F5" w14:textId="3F3C4264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67D93B15" w14:textId="3D4325D6" w:rsidR="009D4CAE" w:rsidRPr="00262840" w:rsidRDefault="00613988" w:rsidP="009D4CAE">
      <w:pPr>
        <w:pStyle w:val="FootnoteTex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Twenty</w:t>
      </w:r>
      <w:r w:rsidR="009D4CAE">
        <w:rPr>
          <w:b/>
          <w:bCs/>
          <w:color w:val="0000FF"/>
          <w:sz w:val="22"/>
          <w:szCs w:val="22"/>
        </w:rPr>
        <w:t xml:space="preserve"> domiciles</w:t>
      </w:r>
      <w:r w:rsidR="009D4CAE" w:rsidRPr="00262840">
        <w:rPr>
          <w:b/>
          <w:bCs/>
          <w:color w:val="0000FF"/>
          <w:sz w:val="22"/>
          <w:szCs w:val="22"/>
        </w:rPr>
        <w:t xml:space="preserve"> </w:t>
      </w:r>
      <w:r w:rsidR="009D4CAE">
        <w:rPr>
          <w:b/>
          <w:bCs/>
          <w:color w:val="0000FF"/>
          <w:sz w:val="22"/>
          <w:szCs w:val="22"/>
        </w:rPr>
        <w:t xml:space="preserve">recorded net asset growth </w:t>
      </w:r>
      <w:r w:rsidR="008467CD">
        <w:rPr>
          <w:b/>
          <w:bCs/>
          <w:color w:val="0000FF"/>
          <w:sz w:val="22"/>
          <w:szCs w:val="22"/>
        </w:rPr>
        <w:t>in</w:t>
      </w:r>
      <w:r w:rsidR="009D4CAE">
        <w:rPr>
          <w:b/>
          <w:bCs/>
          <w:color w:val="0000FF"/>
          <w:sz w:val="22"/>
          <w:szCs w:val="22"/>
        </w:rPr>
        <w:t xml:space="preserve"> Q3 201</w:t>
      </w:r>
      <w:r w:rsidR="00C56E58">
        <w:rPr>
          <w:b/>
          <w:bCs/>
          <w:color w:val="0000FF"/>
          <w:sz w:val="22"/>
          <w:szCs w:val="22"/>
        </w:rPr>
        <w:t>8</w:t>
      </w:r>
      <w:r w:rsidR="009D4CAE">
        <w:rPr>
          <w:b/>
          <w:bCs/>
          <w:color w:val="0000FF"/>
          <w:sz w:val="22"/>
          <w:szCs w:val="22"/>
        </w:rPr>
        <w:t>, with net assets of UCITS reaching EUR 9,</w:t>
      </w:r>
      <w:r w:rsidR="007175EF">
        <w:rPr>
          <w:b/>
          <w:bCs/>
          <w:color w:val="0000FF"/>
          <w:sz w:val="22"/>
          <w:szCs w:val="22"/>
        </w:rPr>
        <w:t>968</w:t>
      </w:r>
      <w:r w:rsidR="009D4CAE">
        <w:rPr>
          <w:b/>
          <w:bCs/>
          <w:color w:val="0000FF"/>
          <w:sz w:val="22"/>
          <w:szCs w:val="22"/>
        </w:rPr>
        <w:t xml:space="preserve"> billion.</w:t>
      </w:r>
    </w:p>
    <w:p w14:paraId="13BC7A4F" w14:textId="6F286C49" w:rsidR="009D4CAE" w:rsidRDefault="009D4CAE" w:rsidP="009D4CAE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14:paraId="6038E8BB" w14:textId="5095C473" w:rsidR="00CB6A38" w:rsidRDefault="00CB6A38" w:rsidP="00CB6A38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Among the major domiciles, Ireland recorded the largest net asset growth (1.7 %), followed by Germany (1.4%), Luxembourg (0.9%) and the United Kingdom (0.4%).</w:t>
      </w:r>
      <w:r w:rsidR="008B4EEC">
        <w:rPr>
          <w:bCs/>
          <w:color w:val="000000"/>
          <w:sz w:val="22"/>
          <w:szCs w:val="22"/>
        </w:rPr>
        <w:t xml:space="preserve"> </w:t>
      </w:r>
      <w:r w:rsidR="00657697">
        <w:rPr>
          <w:bCs/>
          <w:color w:val="000000"/>
          <w:sz w:val="22"/>
          <w:szCs w:val="22"/>
        </w:rPr>
        <w:t>France recorded a small decrease in net assets (0.4%)</w:t>
      </w:r>
    </w:p>
    <w:p w14:paraId="36F1026D" w14:textId="7A985A88" w:rsidR="00CB6A38" w:rsidRDefault="00CB6A38" w:rsidP="00CB6A38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4F844B74" w14:textId="432B3CB3" w:rsidR="00CB6A38" w:rsidRDefault="00657697" w:rsidP="00CB6A38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Net a</w:t>
      </w:r>
      <w:r w:rsidR="00CB6A38">
        <w:rPr>
          <w:bCs/>
          <w:color w:val="000000"/>
          <w:sz w:val="22"/>
          <w:szCs w:val="22"/>
        </w:rPr>
        <w:t xml:space="preserve">sset growth was </w:t>
      </w:r>
      <w:r w:rsidR="008467CD">
        <w:rPr>
          <w:bCs/>
          <w:color w:val="000000"/>
          <w:sz w:val="22"/>
          <w:szCs w:val="22"/>
        </w:rPr>
        <w:t xml:space="preserve">also </w:t>
      </w:r>
      <w:r w:rsidR="00CB6A38">
        <w:rPr>
          <w:bCs/>
          <w:color w:val="000000"/>
          <w:sz w:val="22"/>
          <w:szCs w:val="22"/>
        </w:rPr>
        <w:t>seen in all Nordic countries, with the largest increase in Sweden (6.2%), followed by Norway (</w:t>
      </w:r>
      <w:r w:rsidR="00B21668">
        <w:rPr>
          <w:bCs/>
          <w:color w:val="000000"/>
          <w:sz w:val="22"/>
          <w:szCs w:val="22"/>
        </w:rPr>
        <w:t>3</w:t>
      </w:r>
      <w:r w:rsidR="008467CD">
        <w:rPr>
          <w:bCs/>
          <w:color w:val="000000"/>
          <w:sz w:val="22"/>
          <w:szCs w:val="22"/>
        </w:rPr>
        <w:t xml:space="preserve">.8%), Denmark (2.2%). </w:t>
      </w:r>
      <w:r w:rsidR="00CB6A38">
        <w:rPr>
          <w:bCs/>
          <w:color w:val="000000"/>
          <w:sz w:val="22"/>
          <w:szCs w:val="22"/>
        </w:rPr>
        <w:t>In Southern Europe, the largest growth was recorded in Cyprus (</w:t>
      </w:r>
      <w:r w:rsidR="008467CD">
        <w:rPr>
          <w:bCs/>
          <w:color w:val="000000"/>
          <w:sz w:val="22"/>
          <w:szCs w:val="22"/>
        </w:rPr>
        <w:t xml:space="preserve">5.5%), followed by Malta (2.0%). </w:t>
      </w:r>
      <w:r w:rsidR="00CB6A38">
        <w:rPr>
          <w:bCs/>
          <w:color w:val="000000"/>
          <w:sz w:val="22"/>
          <w:szCs w:val="22"/>
        </w:rPr>
        <w:t xml:space="preserve">In Central and Eastern Europe, </w:t>
      </w:r>
      <w:r w:rsidR="008467CD">
        <w:rPr>
          <w:bCs/>
          <w:color w:val="000000"/>
          <w:sz w:val="22"/>
          <w:szCs w:val="22"/>
        </w:rPr>
        <w:t xml:space="preserve">large </w:t>
      </w:r>
      <w:r w:rsidR="00CB6A38">
        <w:rPr>
          <w:bCs/>
          <w:color w:val="000000"/>
          <w:sz w:val="22"/>
          <w:szCs w:val="22"/>
        </w:rPr>
        <w:t xml:space="preserve">increases in net assets were recorded in </w:t>
      </w:r>
      <w:r w:rsidR="008467CD">
        <w:rPr>
          <w:bCs/>
          <w:color w:val="000000"/>
          <w:sz w:val="22"/>
          <w:szCs w:val="22"/>
        </w:rPr>
        <w:t>Bulgaria (5.4%), Croatia (3.5%) and the</w:t>
      </w:r>
      <w:r w:rsidR="008B4EEC">
        <w:rPr>
          <w:bCs/>
          <w:color w:val="000000"/>
          <w:sz w:val="22"/>
          <w:szCs w:val="22"/>
        </w:rPr>
        <w:t xml:space="preserve"> </w:t>
      </w:r>
      <w:r w:rsidR="008261B1">
        <w:rPr>
          <w:bCs/>
          <w:color w:val="000000"/>
          <w:sz w:val="22"/>
          <w:szCs w:val="22"/>
        </w:rPr>
        <w:t>Czech Republic (3.1</w:t>
      </w:r>
      <w:r w:rsidR="008467CD">
        <w:rPr>
          <w:bCs/>
          <w:color w:val="000000"/>
          <w:sz w:val="22"/>
          <w:szCs w:val="22"/>
        </w:rPr>
        <w:t>%).</w:t>
      </w:r>
    </w:p>
    <w:p w14:paraId="214F821A" w14:textId="445098C8" w:rsidR="00CB6A38" w:rsidRDefault="00CB6A38" w:rsidP="00CB6A38">
      <w:pPr>
        <w:jc w:val="both"/>
      </w:pPr>
    </w:p>
    <w:p w14:paraId="701B23E7" w14:textId="731B4705" w:rsidR="00CB6A38" w:rsidRDefault="00CB6A38" w:rsidP="00CB6A38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10A54330" w14:textId="788073CA" w:rsidR="00CB6A38" w:rsidRDefault="00BA5F76" w:rsidP="00CB6A38">
      <w:pPr>
        <w:pStyle w:val="FootnoteText"/>
        <w:jc w:val="both"/>
        <w:rPr>
          <w:bCs/>
          <w:color w:val="000000"/>
          <w:sz w:val="22"/>
          <w:szCs w:val="22"/>
        </w:rPr>
      </w:pPr>
      <w:r w:rsidRPr="00BA5F76">
        <w:rPr>
          <w:noProof/>
        </w:rPr>
        <w:drawing>
          <wp:anchor distT="0" distB="0" distL="114300" distR="114300" simplePos="0" relativeHeight="251756544" behindDoc="0" locked="0" layoutInCell="1" allowOverlap="1" wp14:anchorId="3E9E9A0C" wp14:editId="5E4B05A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13095" cy="6480175"/>
            <wp:effectExtent l="0" t="0" r="190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F559D" w14:textId="4A97315E" w:rsidR="00CB6A38" w:rsidRDefault="00CB6A38" w:rsidP="00CB6A38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7D137FCF" w14:textId="7CB938E4" w:rsidR="00CB6A38" w:rsidRDefault="00CB6A38" w:rsidP="009D4CAE">
      <w:pPr>
        <w:jc w:val="both"/>
        <w:rPr>
          <w:bCs/>
          <w:color w:val="000000"/>
          <w:sz w:val="22"/>
          <w:szCs w:val="22"/>
        </w:rPr>
      </w:pPr>
    </w:p>
    <w:p w14:paraId="091876D1" w14:textId="355E9788" w:rsidR="00C56E58" w:rsidRDefault="00C56E58" w:rsidP="00C56E58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6F164C9A" w14:textId="33A93FA4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585A07D" w14:textId="6F1B3BDB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26AAEA8" w14:textId="354BC23D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1BB354E" w14:textId="6576919D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5F8B5BF" w14:textId="06CDE521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1613401" w14:textId="3E06BBD0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914FF7A" w14:textId="22A0A816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599C18F" w14:textId="13269899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6A38DC7" w14:textId="7FE1A10C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B82C47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2B7D36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1363664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7D16C9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840145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D59BAA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65B73F7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D7C7A8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B75AF4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CD180D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C48C0B2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E1571E4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7BEE9C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21C639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6259D4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C108011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00DF800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2EFDA1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68E5FC7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EFD17F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E8DC4FD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FCAD85B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3DAE89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01A826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40ACD6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D7652D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F54CFF5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3BAB948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D62B95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F6E76E2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FE9470F" w14:textId="77777777" w:rsidR="00236194" w:rsidRDefault="00236194" w:rsidP="008B4EEC">
      <w:pPr>
        <w:pStyle w:val="FootnoteText"/>
        <w:tabs>
          <w:tab w:val="left" w:pos="360"/>
        </w:tabs>
      </w:pPr>
    </w:p>
    <w:p w14:paraId="45533BD1" w14:textId="77777777" w:rsidR="009D4CAE" w:rsidRDefault="009D4CAE" w:rsidP="00AD3D5F">
      <w:pPr>
        <w:pStyle w:val="FootnoteText"/>
        <w:tabs>
          <w:tab w:val="left" w:pos="360"/>
        </w:tabs>
        <w:jc w:val="center"/>
      </w:pPr>
    </w:p>
    <w:p w14:paraId="43620A75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2337F00A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340078B0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4D3BBD8E" w14:textId="6CC4878D" w:rsidR="009D4CAE" w:rsidRPr="00121780" w:rsidRDefault="0081674C" w:rsidP="009D4CAE">
      <w:pPr>
        <w:spacing w:after="160" w:line="252" w:lineRule="auto"/>
        <w:contextualSpacing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AIFs recorded net inflows of EUR 37 billion in Q</w:t>
      </w:r>
      <w:r w:rsidR="00BD1A82">
        <w:rPr>
          <w:b/>
          <w:bCs/>
          <w:color w:val="0000FF"/>
          <w:sz w:val="22"/>
          <w:szCs w:val="22"/>
        </w:rPr>
        <w:t>3</w:t>
      </w:r>
      <w:r>
        <w:rPr>
          <w:b/>
          <w:bCs/>
          <w:color w:val="0000FF"/>
          <w:sz w:val="22"/>
          <w:szCs w:val="22"/>
        </w:rPr>
        <w:t xml:space="preserve"> 2018, up from EUR 15 billion in Q2</w:t>
      </w:r>
      <w:r w:rsidR="00657697">
        <w:rPr>
          <w:b/>
          <w:bCs/>
          <w:color w:val="0000FF"/>
          <w:sz w:val="22"/>
          <w:szCs w:val="22"/>
        </w:rPr>
        <w:t xml:space="preserve"> 2018</w:t>
      </w:r>
      <w:r>
        <w:rPr>
          <w:b/>
          <w:bCs/>
          <w:color w:val="0000FF"/>
          <w:sz w:val="22"/>
          <w:szCs w:val="22"/>
        </w:rPr>
        <w:t xml:space="preserve">. </w:t>
      </w:r>
      <w:r w:rsidR="009D4CAE" w:rsidRPr="00121780">
        <w:rPr>
          <w:b/>
          <w:bCs/>
          <w:color w:val="0000FF"/>
          <w:sz w:val="22"/>
          <w:szCs w:val="22"/>
        </w:rPr>
        <w:t>During the first three quarters of 201</w:t>
      </w:r>
      <w:r>
        <w:rPr>
          <w:b/>
          <w:bCs/>
          <w:color w:val="0000FF"/>
          <w:sz w:val="22"/>
          <w:szCs w:val="22"/>
        </w:rPr>
        <w:t>8</w:t>
      </w:r>
      <w:r w:rsidR="009D4CAE" w:rsidRPr="00121780">
        <w:rPr>
          <w:b/>
          <w:bCs/>
          <w:color w:val="0000FF"/>
          <w:sz w:val="22"/>
          <w:szCs w:val="22"/>
        </w:rPr>
        <w:t>, AIF</w:t>
      </w:r>
      <w:r w:rsidR="00E4737A">
        <w:rPr>
          <w:b/>
          <w:bCs/>
          <w:color w:val="0000FF"/>
          <w:sz w:val="22"/>
          <w:szCs w:val="22"/>
        </w:rPr>
        <w:t>s</w:t>
      </w:r>
      <w:r w:rsidR="009D4CAE" w:rsidRPr="00121780">
        <w:rPr>
          <w:b/>
          <w:bCs/>
          <w:color w:val="0000FF"/>
          <w:sz w:val="22"/>
          <w:szCs w:val="22"/>
        </w:rPr>
        <w:t xml:space="preserve"> attracted net sales of EUR 1</w:t>
      </w:r>
      <w:r>
        <w:rPr>
          <w:b/>
          <w:bCs/>
          <w:color w:val="0000FF"/>
          <w:sz w:val="22"/>
          <w:szCs w:val="22"/>
        </w:rPr>
        <w:t>04 billion.</w:t>
      </w:r>
    </w:p>
    <w:p w14:paraId="07E3DDC3" w14:textId="77777777" w:rsidR="009D4CAE" w:rsidRDefault="009D4CAE" w:rsidP="009D4CAE">
      <w:pPr>
        <w:jc w:val="both"/>
        <w:rPr>
          <w:b/>
          <w:bCs/>
          <w:color w:val="0000FF"/>
          <w:sz w:val="22"/>
          <w:szCs w:val="22"/>
        </w:rPr>
      </w:pPr>
    </w:p>
    <w:p w14:paraId="4BBF27E7" w14:textId="01DE2F6C" w:rsidR="009D4CAE" w:rsidRDefault="009D4CAE" w:rsidP="009D4CAE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Long-term AIF</w:t>
      </w:r>
      <w:r w:rsidR="00CE3710">
        <w:rPr>
          <w:bCs/>
          <w:color w:val="000000"/>
          <w:sz w:val="22"/>
          <w:szCs w:val="22"/>
        </w:rPr>
        <w:t>s</w:t>
      </w:r>
      <w:r w:rsidRPr="007D3A6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recorded net sales of EUR </w:t>
      </w:r>
      <w:r w:rsidR="0081674C">
        <w:rPr>
          <w:bCs/>
          <w:color w:val="000000"/>
          <w:sz w:val="22"/>
          <w:szCs w:val="22"/>
        </w:rPr>
        <w:t>38</w:t>
      </w:r>
      <w:r>
        <w:rPr>
          <w:bCs/>
          <w:color w:val="000000"/>
          <w:sz w:val="22"/>
          <w:szCs w:val="22"/>
        </w:rPr>
        <w:t xml:space="preserve"> billion, </w:t>
      </w:r>
      <w:r w:rsidR="0081674C">
        <w:rPr>
          <w:bCs/>
          <w:color w:val="000000"/>
          <w:sz w:val="22"/>
          <w:szCs w:val="22"/>
        </w:rPr>
        <w:t>up</w:t>
      </w:r>
      <w:r>
        <w:rPr>
          <w:bCs/>
          <w:color w:val="000000"/>
          <w:sz w:val="22"/>
          <w:szCs w:val="22"/>
        </w:rPr>
        <w:t xml:space="preserve"> from</w:t>
      </w:r>
      <w:r w:rsidRPr="00A7353F">
        <w:rPr>
          <w:bCs/>
          <w:color w:val="000000"/>
          <w:sz w:val="22"/>
          <w:szCs w:val="22"/>
        </w:rPr>
        <w:t xml:space="preserve"> EUR </w:t>
      </w:r>
      <w:r w:rsidR="0081674C">
        <w:rPr>
          <w:bCs/>
          <w:color w:val="000000"/>
          <w:sz w:val="22"/>
          <w:szCs w:val="22"/>
        </w:rPr>
        <w:t>17</w:t>
      </w:r>
      <w:r w:rsidRPr="00A7353F">
        <w:rPr>
          <w:bCs/>
          <w:color w:val="000000"/>
          <w:sz w:val="22"/>
          <w:szCs w:val="22"/>
        </w:rPr>
        <w:t xml:space="preserve"> billion in </w:t>
      </w:r>
      <w:r>
        <w:rPr>
          <w:bCs/>
          <w:color w:val="000000"/>
          <w:sz w:val="22"/>
          <w:szCs w:val="22"/>
        </w:rPr>
        <w:t>Q2 201</w:t>
      </w:r>
      <w:r w:rsidR="0081674C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. </w:t>
      </w:r>
      <w:r w:rsidR="0081674C">
        <w:rPr>
          <w:bCs/>
          <w:color w:val="000000"/>
          <w:sz w:val="22"/>
          <w:szCs w:val="22"/>
        </w:rPr>
        <w:t>Equity funds registered net outflows of EUR 3 billion in the third quarter of 2018, compared to net outflows of EUR 9 billion in Q2</w:t>
      </w:r>
      <w:r w:rsidR="00657697">
        <w:rPr>
          <w:bCs/>
          <w:color w:val="000000"/>
          <w:sz w:val="22"/>
          <w:szCs w:val="22"/>
        </w:rPr>
        <w:t xml:space="preserve"> 2018</w:t>
      </w:r>
      <w:r w:rsidR="0081674C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 </w:t>
      </w:r>
      <w:r w:rsidR="0081674C">
        <w:rPr>
          <w:bCs/>
          <w:color w:val="000000"/>
          <w:sz w:val="22"/>
          <w:szCs w:val="22"/>
        </w:rPr>
        <w:t>Net sales of multi-asset funds reversed in Q3</w:t>
      </w:r>
      <w:r w:rsidR="00657697">
        <w:rPr>
          <w:bCs/>
          <w:color w:val="000000"/>
          <w:sz w:val="22"/>
          <w:szCs w:val="22"/>
        </w:rPr>
        <w:t xml:space="preserve"> 2018</w:t>
      </w:r>
      <w:r w:rsidR="0081674C">
        <w:rPr>
          <w:bCs/>
          <w:color w:val="000000"/>
          <w:sz w:val="22"/>
          <w:szCs w:val="22"/>
        </w:rPr>
        <w:t xml:space="preserve">, from outflows of EUR 1 billion in Q2 </w:t>
      </w:r>
      <w:r w:rsidR="00657697">
        <w:rPr>
          <w:bCs/>
          <w:color w:val="000000"/>
          <w:sz w:val="22"/>
          <w:szCs w:val="22"/>
        </w:rPr>
        <w:t xml:space="preserve">2018 </w:t>
      </w:r>
      <w:r w:rsidR="0081674C">
        <w:rPr>
          <w:bCs/>
          <w:color w:val="000000"/>
          <w:sz w:val="22"/>
          <w:szCs w:val="22"/>
        </w:rPr>
        <w:t>to inflows of EUR 10 billion.</w:t>
      </w:r>
      <w:r w:rsidRPr="00A7353F">
        <w:rPr>
          <w:bCs/>
          <w:color w:val="000000"/>
          <w:sz w:val="22"/>
          <w:szCs w:val="22"/>
        </w:rPr>
        <w:t xml:space="preserve"> </w:t>
      </w:r>
      <w:r w:rsidR="00C617BE">
        <w:rPr>
          <w:bCs/>
          <w:color w:val="000000"/>
          <w:sz w:val="22"/>
          <w:szCs w:val="22"/>
        </w:rPr>
        <w:t>Net outflows of bond</w:t>
      </w:r>
      <w:r w:rsidR="00C617BE" w:rsidRPr="00A7353F">
        <w:rPr>
          <w:bCs/>
          <w:color w:val="000000"/>
          <w:sz w:val="22"/>
          <w:szCs w:val="22"/>
        </w:rPr>
        <w:t xml:space="preserve"> funds </w:t>
      </w:r>
      <w:r w:rsidR="00C617BE">
        <w:rPr>
          <w:bCs/>
          <w:color w:val="000000"/>
          <w:sz w:val="22"/>
          <w:szCs w:val="22"/>
        </w:rPr>
        <w:t xml:space="preserve">amounted to EUR 4 billion at the end of the </w:t>
      </w:r>
      <w:r w:rsidR="00F94CF8">
        <w:rPr>
          <w:bCs/>
          <w:color w:val="000000"/>
          <w:sz w:val="22"/>
          <w:szCs w:val="22"/>
        </w:rPr>
        <w:t xml:space="preserve">third </w:t>
      </w:r>
      <w:r w:rsidR="00C617BE">
        <w:rPr>
          <w:bCs/>
          <w:color w:val="000000"/>
          <w:sz w:val="22"/>
          <w:szCs w:val="22"/>
        </w:rPr>
        <w:t>quarter, compared to EUR 5 billion in the previous quarter.</w:t>
      </w:r>
      <w:r w:rsidR="00AD18D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Net sales of other funds </w:t>
      </w:r>
      <w:r w:rsidR="00C617BE">
        <w:rPr>
          <w:bCs/>
          <w:color w:val="000000"/>
          <w:sz w:val="22"/>
          <w:szCs w:val="22"/>
        </w:rPr>
        <w:t>in</w:t>
      </w:r>
      <w:r>
        <w:rPr>
          <w:bCs/>
          <w:color w:val="000000"/>
          <w:sz w:val="22"/>
          <w:szCs w:val="22"/>
        </w:rPr>
        <w:t xml:space="preserve">creased from EUR </w:t>
      </w:r>
      <w:r w:rsidR="00C617BE">
        <w:rPr>
          <w:bCs/>
          <w:color w:val="000000"/>
          <w:sz w:val="22"/>
          <w:szCs w:val="22"/>
        </w:rPr>
        <w:t>21</w:t>
      </w:r>
      <w:r>
        <w:rPr>
          <w:bCs/>
          <w:color w:val="000000"/>
          <w:sz w:val="22"/>
          <w:szCs w:val="22"/>
        </w:rPr>
        <w:t xml:space="preserve"> billion in Q2 201</w:t>
      </w:r>
      <w:r w:rsidR="00C617BE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 xml:space="preserve"> to EUR </w:t>
      </w:r>
      <w:r w:rsidR="00C617BE">
        <w:rPr>
          <w:bCs/>
          <w:color w:val="000000"/>
          <w:sz w:val="22"/>
          <w:szCs w:val="22"/>
        </w:rPr>
        <w:t>30</w:t>
      </w:r>
      <w:r>
        <w:rPr>
          <w:bCs/>
          <w:color w:val="000000"/>
          <w:sz w:val="22"/>
          <w:szCs w:val="22"/>
        </w:rPr>
        <w:t xml:space="preserve"> billion in Q3 201</w:t>
      </w:r>
      <w:r w:rsidR="00C617BE">
        <w:rPr>
          <w:bCs/>
          <w:color w:val="000000"/>
          <w:sz w:val="22"/>
          <w:szCs w:val="22"/>
        </w:rPr>
        <w:t>8</w:t>
      </w:r>
      <w:r>
        <w:rPr>
          <w:bCs/>
          <w:color w:val="000000"/>
          <w:sz w:val="22"/>
          <w:szCs w:val="22"/>
        </w:rPr>
        <w:t>.</w:t>
      </w:r>
    </w:p>
    <w:p w14:paraId="42F7C6D4" w14:textId="5CD3F00A" w:rsidR="001142A5" w:rsidRPr="00955553" w:rsidRDefault="00122D70" w:rsidP="001142A5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1248" behindDoc="0" locked="0" layoutInCell="1" allowOverlap="1" wp14:anchorId="1BFC4C32" wp14:editId="169B909D">
            <wp:simplePos x="0" y="0"/>
            <wp:positionH relativeFrom="margin">
              <wp:posOffset>-133985</wp:posOffset>
            </wp:positionH>
            <wp:positionV relativeFrom="paragraph">
              <wp:posOffset>173990</wp:posOffset>
            </wp:positionV>
            <wp:extent cx="3434080" cy="2106930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10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3995E" w14:textId="4E5493EA" w:rsidR="001142A5" w:rsidRPr="00FD75CC" w:rsidRDefault="00122D70" w:rsidP="001142A5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2272" behindDoc="0" locked="0" layoutInCell="1" allowOverlap="1" wp14:anchorId="3E7FA20C" wp14:editId="38DAA580">
            <wp:simplePos x="0" y="0"/>
            <wp:positionH relativeFrom="column">
              <wp:posOffset>3161665</wp:posOffset>
            </wp:positionH>
            <wp:positionV relativeFrom="paragraph">
              <wp:posOffset>46990</wp:posOffset>
            </wp:positionV>
            <wp:extent cx="3410906" cy="208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06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F89A2" w14:textId="1DBB633C" w:rsidR="001142A5" w:rsidRPr="00FD75CC" w:rsidRDefault="00122D70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6368" behindDoc="0" locked="0" layoutInCell="1" allowOverlap="1" wp14:anchorId="707B5EB1" wp14:editId="2491B94D">
            <wp:simplePos x="0" y="0"/>
            <wp:positionH relativeFrom="margin">
              <wp:posOffset>3075940</wp:posOffset>
            </wp:positionH>
            <wp:positionV relativeFrom="paragraph">
              <wp:posOffset>4487584</wp:posOffset>
            </wp:positionV>
            <wp:extent cx="3406400" cy="208800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5344" behindDoc="0" locked="0" layoutInCell="1" allowOverlap="1" wp14:anchorId="09D6E694" wp14:editId="7C3DF611">
            <wp:simplePos x="0" y="0"/>
            <wp:positionH relativeFrom="column">
              <wp:posOffset>-79375</wp:posOffset>
            </wp:positionH>
            <wp:positionV relativeFrom="paragraph">
              <wp:posOffset>4487545</wp:posOffset>
            </wp:positionV>
            <wp:extent cx="3388795" cy="2088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795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4320" behindDoc="0" locked="0" layoutInCell="1" allowOverlap="1" wp14:anchorId="4DC852E0" wp14:editId="53A7F73C">
            <wp:simplePos x="0" y="0"/>
            <wp:positionH relativeFrom="column">
              <wp:posOffset>3161665</wp:posOffset>
            </wp:positionH>
            <wp:positionV relativeFrom="paragraph">
              <wp:posOffset>2220595</wp:posOffset>
            </wp:positionV>
            <wp:extent cx="3429778" cy="208800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78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3296" behindDoc="0" locked="0" layoutInCell="1" allowOverlap="1" wp14:anchorId="637A19A1" wp14:editId="5C2A035C">
            <wp:simplePos x="0" y="0"/>
            <wp:positionH relativeFrom="column">
              <wp:posOffset>-124460</wp:posOffset>
            </wp:positionH>
            <wp:positionV relativeFrom="paragraph">
              <wp:posOffset>2211089</wp:posOffset>
            </wp:positionV>
            <wp:extent cx="3433674" cy="208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74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6CFFE790" w14:textId="77777777" w:rsidR="001142A5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Country of Domiciliation and Investment Type</w:t>
      </w:r>
    </w:p>
    <w:p w14:paraId="306365BE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FC51EA" w14:textId="378D64B5" w:rsidR="009D4CAE" w:rsidRPr="004C7355" w:rsidRDefault="004460EA" w:rsidP="009D4CAE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Six</w:t>
      </w:r>
      <w:r w:rsidR="009D4CAE" w:rsidRPr="004C7355">
        <w:rPr>
          <w:b/>
          <w:color w:val="0000FF"/>
          <w:sz w:val="22"/>
          <w:szCs w:val="22"/>
          <w:lang w:eastAsia="fr-FR"/>
        </w:rPr>
        <w:t>teen countries experienced net inflows into AIF</w:t>
      </w:r>
      <w:r w:rsidR="00CE3710">
        <w:rPr>
          <w:b/>
          <w:color w:val="0000FF"/>
          <w:sz w:val="22"/>
          <w:szCs w:val="22"/>
          <w:lang w:eastAsia="fr-FR"/>
        </w:rPr>
        <w:t>s</w:t>
      </w:r>
      <w:r w:rsidR="009D4CAE" w:rsidRPr="004C7355">
        <w:rPr>
          <w:b/>
          <w:color w:val="0000FF"/>
          <w:sz w:val="22"/>
          <w:szCs w:val="22"/>
          <w:lang w:eastAsia="fr-FR"/>
        </w:rPr>
        <w:t xml:space="preserve"> in Q3 201</w:t>
      </w:r>
      <w:r w:rsidR="00D234CA">
        <w:rPr>
          <w:b/>
          <w:color w:val="0000FF"/>
          <w:sz w:val="22"/>
          <w:szCs w:val="22"/>
          <w:lang w:eastAsia="fr-FR"/>
        </w:rPr>
        <w:t>8</w:t>
      </w:r>
      <w:r w:rsidR="009D4CAE" w:rsidRPr="004C7355">
        <w:rPr>
          <w:b/>
          <w:color w:val="0000FF"/>
          <w:sz w:val="22"/>
          <w:szCs w:val="22"/>
          <w:lang w:eastAsia="fr-FR"/>
        </w:rPr>
        <w:t xml:space="preserve">, with </w:t>
      </w:r>
      <w:r w:rsidR="00D234CA">
        <w:rPr>
          <w:b/>
          <w:color w:val="0000FF"/>
          <w:sz w:val="22"/>
          <w:szCs w:val="22"/>
          <w:lang w:eastAsia="fr-FR"/>
        </w:rPr>
        <w:t>five</w:t>
      </w:r>
      <w:r w:rsidR="009D4CAE">
        <w:rPr>
          <w:b/>
          <w:color w:val="0000FF"/>
          <w:sz w:val="22"/>
          <w:szCs w:val="22"/>
          <w:lang w:eastAsia="fr-FR"/>
        </w:rPr>
        <w:t xml:space="preserve"> countries recording net sale</w:t>
      </w:r>
      <w:r w:rsidR="009D4CAE" w:rsidRPr="004C7355">
        <w:rPr>
          <w:b/>
          <w:color w:val="0000FF"/>
          <w:sz w:val="22"/>
          <w:szCs w:val="22"/>
          <w:lang w:eastAsia="fr-FR"/>
        </w:rPr>
        <w:t>s higher than EUR 1 billion.</w:t>
      </w:r>
      <w:r w:rsidR="009D4CAE" w:rsidRPr="004C7355">
        <w:rPr>
          <w:color w:val="000000"/>
          <w:sz w:val="22"/>
          <w:szCs w:val="22"/>
          <w:lang w:eastAsia="fr-FR"/>
        </w:rPr>
        <w:t xml:space="preserve"> </w:t>
      </w:r>
    </w:p>
    <w:p w14:paraId="44DF518E" w14:textId="77777777" w:rsidR="009D4CAE" w:rsidRPr="004C7355" w:rsidRDefault="009D4CAE" w:rsidP="009D4CAE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</w:p>
    <w:p w14:paraId="46487C5E" w14:textId="2F446119" w:rsidR="009D4CAE" w:rsidRDefault="009D4CAE" w:rsidP="009D4CAE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Net sale</w:t>
      </w:r>
      <w:r w:rsidRPr="004C7355">
        <w:rPr>
          <w:color w:val="000000"/>
          <w:sz w:val="22"/>
          <w:szCs w:val="22"/>
          <w:lang w:eastAsia="fr-FR"/>
        </w:rPr>
        <w:t xml:space="preserve">s above EUR 1 billion were registered in Germany (EUR </w:t>
      </w:r>
      <w:r w:rsidR="00D234CA">
        <w:rPr>
          <w:color w:val="000000"/>
          <w:sz w:val="22"/>
          <w:szCs w:val="22"/>
          <w:lang w:eastAsia="fr-FR"/>
        </w:rPr>
        <w:t>20.9</w:t>
      </w:r>
      <w:r w:rsidRPr="004C7355">
        <w:rPr>
          <w:color w:val="000000"/>
          <w:sz w:val="22"/>
          <w:szCs w:val="22"/>
          <w:lang w:eastAsia="fr-FR"/>
        </w:rPr>
        <w:t xml:space="preserve"> billion), </w:t>
      </w:r>
      <w:r w:rsidR="00D234CA" w:rsidRPr="004C7355">
        <w:rPr>
          <w:color w:val="000000"/>
          <w:sz w:val="22"/>
          <w:szCs w:val="22"/>
          <w:lang w:eastAsia="fr-FR"/>
        </w:rPr>
        <w:t xml:space="preserve">Ireland </w:t>
      </w:r>
      <w:r w:rsidRPr="004C7355">
        <w:rPr>
          <w:color w:val="000000"/>
          <w:sz w:val="22"/>
          <w:szCs w:val="22"/>
          <w:lang w:eastAsia="fr-FR"/>
        </w:rPr>
        <w:t xml:space="preserve">(EUR </w:t>
      </w:r>
      <w:r w:rsidR="00D234CA">
        <w:rPr>
          <w:color w:val="000000"/>
          <w:sz w:val="22"/>
          <w:szCs w:val="22"/>
          <w:lang w:eastAsia="fr-FR"/>
        </w:rPr>
        <w:t>14.7</w:t>
      </w:r>
      <w:r w:rsidRPr="004C7355">
        <w:rPr>
          <w:color w:val="000000"/>
          <w:sz w:val="22"/>
          <w:szCs w:val="22"/>
          <w:lang w:eastAsia="fr-FR"/>
        </w:rPr>
        <w:t xml:space="preserve"> billion), </w:t>
      </w:r>
      <w:r w:rsidR="00D234CA" w:rsidRPr="004C7355">
        <w:rPr>
          <w:color w:val="000000"/>
          <w:sz w:val="22"/>
          <w:szCs w:val="22"/>
          <w:lang w:eastAsia="fr-FR"/>
        </w:rPr>
        <w:t xml:space="preserve">Luxembourg </w:t>
      </w:r>
      <w:r w:rsidRPr="004C7355">
        <w:rPr>
          <w:color w:val="000000"/>
          <w:sz w:val="22"/>
          <w:szCs w:val="22"/>
          <w:lang w:eastAsia="fr-FR"/>
        </w:rPr>
        <w:t xml:space="preserve">(EUR </w:t>
      </w:r>
      <w:r w:rsidR="00D234CA">
        <w:rPr>
          <w:color w:val="000000"/>
          <w:sz w:val="22"/>
          <w:szCs w:val="22"/>
          <w:lang w:eastAsia="fr-FR"/>
        </w:rPr>
        <w:t>8.</w:t>
      </w:r>
      <w:r w:rsidR="002E5DCA">
        <w:rPr>
          <w:color w:val="000000"/>
          <w:sz w:val="22"/>
          <w:szCs w:val="22"/>
          <w:lang w:eastAsia="fr-FR"/>
        </w:rPr>
        <w:t>2</w:t>
      </w:r>
      <w:r w:rsidRPr="004C7355">
        <w:rPr>
          <w:color w:val="000000"/>
          <w:sz w:val="22"/>
          <w:szCs w:val="22"/>
          <w:lang w:eastAsia="fr-FR"/>
        </w:rPr>
        <w:t xml:space="preserve"> billi</w:t>
      </w:r>
      <w:r>
        <w:rPr>
          <w:color w:val="000000"/>
          <w:sz w:val="22"/>
          <w:szCs w:val="22"/>
          <w:lang w:eastAsia="fr-FR"/>
        </w:rPr>
        <w:t xml:space="preserve">on), </w:t>
      </w:r>
      <w:r w:rsidR="00D234CA" w:rsidRPr="004C7355">
        <w:rPr>
          <w:color w:val="000000"/>
          <w:sz w:val="22"/>
          <w:szCs w:val="22"/>
          <w:lang w:eastAsia="fr-FR"/>
        </w:rPr>
        <w:t xml:space="preserve">the Netherlands </w:t>
      </w:r>
      <w:r w:rsidR="00D234CA">
        <w:rPr>
          <w:color w:val="000000"/>
          <w:sz w:val="22"/>
          <w:szCs w:val="22"/>
          <w:lang w:eastAsia="fr-FR"/>
        </w:rPr>
        <w:t xml:space="preserve">(EUR 4.8 billion) and </w:t>
      </w:r>
      <w:r>
        <w:rPr>
          <w:color w:val="000000"/>
          <w:sz w:val="22"/>
          <w:szCs w:val="22"/>
          <w:lang w:eastAsia="fr-FR"/>
        </w:rPr>
        <w:t>the United Kingdom (EUR 2.</w:t>
      </w:r>
      <w:r w:rsidR="00D234CA">
        <w:rPr>
          <w:color w:val="000000"/>
          <w:sz w:val="22"/>
          <w:szCs w:val="22"/>
          <w:lang w:eastAsia="fr-FR"/>
        </w:rPr>
        <w:t>4</w:t>
      </w:r>
      <w:r w:rsidRPr="004C7355">
        <w:rPr>
          <w:color w:val="000000"/>
          <w:sz w:val="22"/>
          <w:szCs w:val="22"/>
          <w:lang w:eastAsia="fr-FR"/>
        </w:rPr>
        <w:t xml:space="preserve"> billion)</w:t>
      </w:r>
      <w:r w:rsidR="00D234CA">
        <w:rPr>
          <w:color w:val="000000"/>
          <w:sz w:val="22"/>
          <w:szCs w:val="22"/>
          <w:lang w:eastAsia="fr-FR"/>
        </w:rPr>
        <w:t>.</w:t>
      </w:r>
    </w:p>
    <w:p w14:paraId="6FD85624" w14:textId="77777777" w:rsidR="00D234CA" w:rsidRDefault="00D234CA" w:rsidP="009D4CAE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</w:p>
    <w:p w14:paraId="65D7FC6F" w14:textId="197B096E" w:rsidR="009D4CAE" w:rsidRPr="004C7355" w:rsidRDefault="00A36A64" w:rsidP="009D4CAE">
      <w:pPr>
        <w:spacing w:line="260" w:lineRule="atLeast"/>
        <w:jc w:val="both"/>
        <w:rPr>
          <w:sz w:val="22"/>
          <w:szCs w:val="22"/>
          <w:lang w:eastAsia="fr-FR"/>
        </w:rPr>
      </w:pPr>
      <w:r w:rsidRPr="00A36A64">
        <w:rPr>
          <w:sz w:val="22"/>
          <w:szCs w:val="22"/>
          <w:lang w:eastAsia="fr-FR"/>
        </w:rPr>
        <w:t xml:space="preserve">During the first three quarters of 2018, </w:t>
      </w:r>
      <w:r>
        <w:rPr>
          <w:sz w:val="22"/>
          <w:szCs w:val="22"/>
          <w:lang w:eastAsia="fr-FR"/>
        </w:rPr>
        <w:t>fifteen</w:t>
      </w:r>
      <w:r w:rsidRPr="00A36A64">
        <w:rPr>
          <w:sz w:val="22"/>
          <w:szCs w:val="22"/>
          <w:lang w:eastAsia="fr-FR"/>
        </w:rPr>
        <w:t xml:space="preserve"> countries registered net inflows </w:t>
      </w:r>
      <w:r>
        <w:rPr>
          <w:sz w:val="22"/>
          <w:szCs w:val="22"/>
          <w:lang w:eastAsia="fr-FR"/>
        </w:rPr>
        <w:t xml:space="preserve">into AIFs, </w:t>
      </w:r>
      <w:r w:rsidR="00DE2725">
        <w:rPr>
          <w:sz w:val="22"/>
          <w:szCs w:val="22"/>
          <w:lang w:eastAsia="fr-FR"/>
        </w:rPr>
        <w:t>with particularly strong inflows in Germany (EUR 62.6 billion), Ireland (EUR 49.8 billion) and Luxembourg (EUR 26.6 billion).</w:t>
      </w:r>
    </w:p>
    <w:p w14:paraId="578E2E79" w14:textId="77777777" w:rsidR="001142A5" w:rsidRPr="004A0405" w:rsidRDefault="001142A5" w:rsidP="001142A5">
      <w:pPr>
        <w:pStyle w:val="Footer"/>
        <w:jc w:val="center"/>
        <w:outlineLvl w:val="0"/>
        <w:rPr>
          <w:lang w:val="en-US"/>
        </w:rPr>
      </w:pPr>
    </w:p>
    <w:p w14:paraId="0499B58C" w14:textId="2B889BF5" w:rsidR="001142A5" w:rsidRPr="00E36C6C" w:rsidRDefault="001142A5" w:rsidP="001142A5">
      <w:pPr>
        <w:pStyle w:val="Footer"/>
        <w:jc w:val="center"/>
        <w:outlineLvl w:val="0"/>
        <w:rPr>
          <w:lang w:val="en-US"/>
        </w:rPr>
      </w:pPr>
    </w:p>
    <w:p w14:paraId="17D66A51" w14:textId="48048ABC" w:rsidR="001142A5" w:rsidRPr="00FD75CC" w:rsidRDefault="00A84EA0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4EA0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420A728D" wp14:editId="2C4C725C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6263640" cy="4881627"/>
            <wp:effectExtent l="0" t="0" r="381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88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2A5">
        <w:br w:type="page"/>
      </w:r>
      <w:r w:rsidR="001142A5"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17B97095" w14:textId="143206D1" w:rsidR="001142A5" w:rsidRPr="00EA222B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Assets </w:t>
      </w:r>
      <w:r w:rsidR="007A1202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Number of Funds </w:t>
      </w: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Investment Type</w:t>
      </w:r>
    </w:p>
    <w:p w14:paraId="4020BEB9" w14:textId="3E472DA2" w:rsidR="001142A5" w:rsidRPr="00EA222B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543F16D0" w14:textId="5E7E8528" w:rsidR="00960108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4C7355">
        <w:rPr>
          <w:b/>
          <w:bCs/>
          <w:color w:val="0000FF"/>
          <w:sz w:val="22"/>
          <w:szCs w:val="22"/>
        </w:rPr>
        <w:t>Net assets of AIF</w:t>
      </w:r>
      <w:r w:rsidR="00CE3710">
        <w:rPr>
          <w:b/>
          <w:bCs/>
          <w:color w:val="0000FF"/>
          <w:sz w:val="22"/>
          <w:szCs w:val="22"/>
        </w:rPr>
        <w:t>s</w:t>
      </w:r>
      <w:r w:rsidRPr="004C7355">
        <w:rPr>
          <w:b/>
          <w:bCs/>
          <w:color w:val="0000FF"/>
          <w:sz w:val="22"/>
          <w:szCs w:val="22"/>
        </w:rPr>
        <w:t xml:space="preserve"> increased by 1.</w:t>
      </w:r>
      <w:r w:rsidR="00E36C6C">
        <w:rPr>
          <w:b/>
          <w:bCs/>
          <w:color w:val="0000FF"/>
          <w:sz w:val="22"/>
          <w:szCs w:val="22"/>
        </w:rPr>
        <w:t>4</w:t>
      </w:r>
      <w:r w:rsidRPr="004C7355">
        <w:rPr>
          <w:b/>
          <w:bCs/>
          <w:color w:val="0000FF"/>
          <w:sz w:val="22"/>
          <w:szCs w:val="22"/>
        </w:rPr>
        <w:t xml:space="preserve">% in the third quarter </w:t>
      </w:r>
      <w:r w:rsidR="00B17099">
        <w:rPr>
          <w:b/>
          <w:bCs/>
          <w:color w:val="0000FF"/>
          <w:sz w:val="22"/>
          <w:szCs w:val="22"/>
        </w:rPr>
        <w:t xml:space="preserve">of 2018 </w:t>
      </w:r>
      <w:r w:rsidRPr="004C7355">
        <w:rPr>
          <w:b/>
          <w:bCs/>
          <w:color w:val="0000FF"/>
          <w:sz w:val="22"/>
          <w:szCs w:val="22"/>
        </w:rPr>
        <w:t xml:space="preserve">to reach EUR </w:t>
      </w:r>
      <w:r w:rsidR="00E36C6C">
        <w:rPr>
          <w:b/>
          <w:bCs/>
          <w:color w:val="0000FF"/>
          <w:sz w:val="22"/>
          <w:szCs w:val="22"/>
        </w:rPr>
        <w:t>6</w:t>
      </w:r>
      <w:r w:rsidRPr="004C7355">
        <w:rPr>
          <w:b/>
          <w:bCs/>
          <w:color w:val="0000FF"/>
          <w:sz w:val="22"/>
          <w:szCs w:val="22"/>
        </w:rPr>
        <w:t>,</w:t>
      </w:r>
      <w:r w:rsidR="00E36C6C">
        <w:rPr>
          <w:b/>
          <w:bCs/>
          <w:color w:val="0000FF"/>
          <w:sz w:val="22"/>
          <w:szCs w:val="22"/>
        </w:rPr>
        <w:t>06</w:t>
      </w:r>
      <w:r w:rsidR="00343D3B">
        <w:rPr>
          <w:b/>
          <w:bCs/>
          <w:color w:val="0000FF"/>
          <w:sz w:val="22"/>
          <w:szCs w:val="22"/>
        </w:rPr>
        <w:t>4</w:t>
      </w:r>
      <w:r w:rsidRPr="004C7355">
        <w:rPr>
          <w:b/>
          <w:bCs/>
          <w:color w:val="0000FF"/>
          <w:sz w:val="22"/>
          <w:szCs w:val="22"/>
        </w:rPr>
        <w:t xml:space="preserve"> billion. </w:t>
      </w:r>
    </w:p>
    <w:p w14:paraId="135B0820" w14:textId="682C5D67" w:rsidR="00960108" w:rsidRPr="00574EEF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</w:p>
    <w:p w14:paraId="46CEC0A7" w14:textId="01688EEE" w:rsidR="00E36C6C" w:rsidRPr="00E36C6C" w:rsidRDefault="00960108" w:rsidP="00E36C6C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  <w:r w:rsidRPr="00E36C6C">
        <w:rPr>
          <w:color w:val="000000"/>
          <w:sz w:val="22"/>
          <w:szCs w:val="22"/>
        </w:rPr>
        <w:t>In Q3 201</w:t>
      </w:r>
      <w:r w:rsidR="00E36C6C" w:rsidRPr="00E36C6C">
        <w:rPr>
          <w:color w:val="000000"/>
          <w:sz w:val="22"/>
          <w:szCs w:val="22"/>
        </w:rPr>
        <w:t>8</w:t>
      </w:r>
      <w:r w:rsidRPr="00E36C6C">
        <w:rPr>
          <w:color w:val="000000"/>
          <w:sz w:val="22"/>
          <w:szCs w:val="22"/>
        </w:rPr>
        <w:t xml:space="preserve">, </w:t>
      </w:r>
      <w:r w:rsidR="00E36C6C" w:rsidRPr="00E36C6C">
        <w:rPr>
          <w:color w:val="000000"/>
          <w:sz w:val="22"/>
          <w:szCs w:val="22"/>
        </w:rPr>
        <w:t>other</w:t>
      </w:r>
      <w:r w:rsidRPr="00E36C6C">
        <w:rPr>
          <w:color w:val="000000"/>
          <w:sz w:val="22"/>
          <w:szCs w:val="22"/>
        </w:rPr>
        <w:t xml:space="preserve"> funds recorded the largest asset growth (</w:t>
      </w:r>
      <w:r w:rsidR="00E36C6C" w:rsidRPr="00E36C6C">
        <w:rPr>
          <w:color w:val="000000"/>
          <w:sz w:val="22"/>
          <w:szCs w:val="22"/>
        </w:rPr>
        <w:t>2.5</w:t>
      </w:r>
      <w:r w:rsidRPr="00E36C6C">
        <w:rPr>
          <w:color w:val="000000"/>
          <w:sz w:val="22"/>
          <w:szCs w:val="22"/>
        </w:rPr>
        <w:t xml:space="preserve">%), followed by </w:t>
      </w:r>
      <w:r w:rsidR="00E36C6C" w:rsidRPr="00E36C6C">
        <w:rPr>
          <w:color w:val="000000"/>
          <w:sz w:val="22"/>
          <w:szCs w:val="22"/>
        </w:rPr>
        <w:t>equity</w:t>
      </w:r>
      <w:r w:rsidRPr="00E36C6C">
        <w:rPr>
          <w:color w:val="000000"/>
          <w:sz w:val="22"/>
          <w:szCs w:val="22"/>
        </w:rPr>
        <w:t xml:space="preserve"> funds (2.</w:t>
      </w:r>
      <w:r w:rsidR="00E36C6C" w:rsidRPr="00E36C6C">
        <w:rPr>
          <w:color w:val="000000"/>
          <w:sz w:val="22"/>
          <w:szCs w:val="22"/>
        </w:rPr>
        <w:t>1</w:t>
      </w:r>
      <w:r w:rsidRPr="00E36C6C">
        <w:rPr>
          <w:color w:val="000000"/>
          <w:sz w:val="22"/>
          <w:szCs w:val="22"/>
        </w:rPr>
        <w:t xml:space="preserve">%), </w:t>
      </w:r>
      <w:r w:rsidR="00E36C6C" w:rsidRPr="00E36C6C">
        <w:rPr>
          <w:sz w:val="22"/>
          <w:szCs w:val="22"/>
        </w:rPr>
        <w:t xml:space="preserve">real estate funds </w:t>
      </w:r>
      <w:r w:rsidRPr="00E36C6C">
        <w:rPr>
          <w:color w:val="000000"/>
          <w:sz w:val="22"/>
          <w:szCs w:val="22"/>
        </w:rPr>
        <w:t>(1.</w:t>
      </w:r>
      <w:r w:rsidR="004223D5">
        <w:rPr>
          <w:color w:val="000000"/>
          <w:sz w:val="22"/>
          <w:szCs w:val="22"/>
        </w:rPr>
        <w:t>9</w:t>
      </w:r>
      <w:r w:rsidRPr="00E36C6C">
        <w:rPr>
          <w:color w:val="000000"/>
          <w:sz w:val="22"/>
          <w:szCs w:val="22"/>
        </w:rPr>
        <w:t>%)</w:t>
      </w:r>
      <w:r w:rsidR="00E36C6C" w:rsidRPr="00E36C6C">
        <w:rPr>
          <w:sz w:val="22"/>
          <w:szCs w:val="22"/>
        </w:rPr>
        <w:t xml:space="preserve"> and </w:t>
      </w:r>
      <w:r w:rsidR="00E36C6C" w:rsidRPr="00E36C6C">
        <w:rPr>
          <w:color w:val="000000"/>
          <w:sz w:val="22"/>
          <w:szCs w:val="22"/>
        </w:rPr>
        <w:t>multi-asset funds (1.1%).</w:t>
      </w:r>
      <w:r w:rsidRPr="00E36C6C">
        <w:rPr>
          <w:sz w:val="22"/>
          <w:szCs w:val="22"/>
        </w:rPr>
        <w:t xml:space="preserve"> </w:t>
      </w:r>
      <w:r w:rsidR="00E36C6C" w:rsidRPr="00E36C6C">
        <w:rPr>
          <w:color w:val="000000"/>
          <w:sz w:val="22"/>
          <w:szCs w:val="22"/>
        </w:rPr>
        <w:t>Decreases in net assets were seen in gu</w:t>
      </w:r>
      <w:r w:rsidR="00746765">
        <w:rPr>
          <w:color w:val="000000"/>
          <w:sz w:val="22"/>
          <w:szCs w:val="22"/>
        </w:rPr>
        <w:t xml:space="preserve">aranteed/protected funds (1.6%), money market funds (1.3%) and </w:t>
      </w:r>
      <w:r w:rsidR="00E36C6C" w:rsidRPr="00E36C6C">
        <w:rPr>
          <w:color w:val="000000"/>
          <w:sz w:val="22"/>
          <w:szCs w:val="22"/>
        </w:rPr>
        <w:t xml:space="preserve">bond funds (0.9%). </w:t>
      </w:r>
    </w:p>
    <w:p w14:paraId="75F58708" w14:textId="17118C7A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color w:val="000000"/>
          <w:sz w:val="22"/>
          <w:szCs w:val="22"/>
          <w:lang w:val="en-GB"/>
        </w:rPr>
      </w:pPr>
    </w:p>
    <w:p w14:paraId="0D26119A" w14:textId="4D106152" w:rsidR="001142A5" w:rsidRDefault="00746765" w:rsidP="00746765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color w:val="000000"/>
          <w:sz w:val="22"/>
          <w:szCs w:val="22"/>
        </w:rPr>
      </w:pPr>
      <w:r w:rsidRPr="00746765">
        <w:rPr>
          <w:color w:val="000000"/>
          <w:sz w:val="22"/>
          <w:szCs w:val="22"/>
        </w:rPr>
        <w:t xml:space="preserve">There were </w:t>
      </w:r>
      <w:r w:rsidRPr="004C7355">
        <w:rPr>
          <w:color w:val="000000"/>
          <w:sz w:val="22"/>
          <w:szCs w:val="22"/>
        </w:rPr>
        <w:t>28,</w:t>
      </w:r>
      <w:r w:rsidR="00F94CF8">
        <w:rPr>
          <w:color w:val="000000"/>
          <w:sz w:val="22"/>
          <w:szCs w:val="22"/>
        </w:rPr>
        <w:t>5</w:t>
      </w:r>
      <w:r w:rsidR="004223D5">
        <w:rPr>
          <w:color w:val="000000"/>
          <w:sz w:val="22"/>
          <w:szCs w:val="22"/>
        </w:rPr>
        <w:t>81</w:t>
      </w:r>
      <w:r w:rsidRPr="004C7355">
        <w:rPr>
          <w:color w:val="000000"/>
          <w:sz w:val="22"/>
          <w:szCs w:val="22"/>
        </w:rPr>
        <w:t xml:space="preserve"> </w:t>
      </w:r>
      <w:r w:rsidR="00AD18D3">
        <w:rPr>
          <w:color w:val="000000"/>
          <w:sz w:val="22"/>
          <w:szCs w:val="22"/>
        </w:rPr>
        <w:t>alternative investment</w:t>
      </w:r>
      <w:r w:rsidRPr="00746765">
        <w:rPr>
          <w:color w:val="000000"/>
          <w:sz w:val="22"/>
          <w:szCs w:val="22"/>
        </w:rPr>
        <w:t xml:space="preserve"> funds at end Q</w:t>
      </w:r>
      <w:r>
        <w:rPr>
          <w:color w:val="000000"/>
          <w:sz w:val="22"/>
          <w:szCs w:val="22"/>
        </w:rPr>
        <w:t>3</w:t>
      </w:r>
      <w:r w:rsidRPr="00746765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8</w:t>
      </w:r>
      <w:r w:rsidRPr="00746765">
        <w:rPr>
          <w:color w:val="000000"/>
          <w:sz w:val="22"/>
          <w:szCs w:val="22"/>
        </w:rPr>
        <w:t>, compared to 28,</w:t>
      </w:r>
      <w:r>
        <w:rPr>
          <w:color w:val="000000"/>
          <w:sz w:val="22"/>
          <w:szCs w:val="22"/>
        </w:rPr>
        <w:t>452</w:t>
      </w:r>
      <w:r w:rsidRPr="00746765">
        <w:rPr>
          <w:color w:val="000000"/>
          <w:sz w:val="22"/>
          <w:szCs w:val="22"/>
        </w:rPr>
        <w:t xml:space="preserve"> at end Q</w:t>
      </w:r>
      <w:r>
        <w:rPr>
          <w:color w:val="000000"/>
          <w:sz w:val="22"/>
          <w:szCs w:val="22"/>
        </w:rPr>
        <w:t>2</w:t>
      </w:r>
      <w:r w:rsidRPr="00746765">
        <w:rPr>
          <w:color w:val="000000"/>
          <w:sz w:val="22"/>
          <w:szCs w:val="22"/>
        </w:rPr>
        <w:t xml:space="preserve"> 201</w:t>
      </w:r>
      <w:r>
        <w:rPr>
          <w:color w:val="000000"/>
          <w:sz w:val="22"/>
          <w:szCs w:val="22"/>
        </w:rPr>
        <w:t>8 and 28</w:t>
      </w:r>
      <w:r w:rsidRPr="00746765">
        <w:rPr>
          <w:color w:val="000000"/>
          <w:sz w:val="22"/>
          <w:szCs w:val="22"/>
        </w:rPr>
        <w:t>,</w:t>
      </w:r>
      <w:r w:rsidR="00F94CF8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53 at end 2017</w:t>
      </w:r>
      <w:r w:rsidRPr="00746765">
        <w:rPr>
          <w:color w:val="000000"/>
          <w:sz w:val="22"/>
          <w:szCs w:val="22"/>
        </w:rPr>
        <w:t xml:space="preserve">. </w:t>
      </w:r>
      <w:r w:rsidRPr="00746765">
        <w:rPr>
          <w:color w:val="000000"/>
          <w:sz w:val="22"/>
          <w:szCs w:val="22"/>
        </w:rPr>
        <w:cr/>
      </w:r>
    </w:p>
    <w:p w14:paraId="23803A7A" w14:textId="4893A980" w:rsidR="00746765" w:rsidRPr="00746765" w:rsidRDefault="00746765" w:rsidP="00746765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color w:val="000000"/>
          <w:sz w:val="22"/>
          <w:szCs w:val="22"/>
        </w:rPr>
      </w:pPr>
    </w:p>
    <w:p w14:paraId="087DEC1C" w14:textId="3F9A25BE" w:rsidR="001142A5" w:rsidRPr="00C04091" w:rsidRDefault="00A84EA0" w:rsidP="001142A5">
      <w:pPr>
        <w:rPr>
          <w:lang w:val="en-GB"/>
        </w:rPr>
      </w:pPr>
      <w:r w:rsidRPr="00A84EA0">
        <w:rPr>
          <w:noProof/>
        </w:rPr>
        <w:drawing>
          <wp:anchor distT="0" distB="0" distL="114300" distR="114300" simplePos="0" relativeHeight="251750400" behindDoc="0" locked="0" layoutInCell="1" allowOverlap="1" wp14:anchorId="55E8AEC8" wp14:editId="3F49B16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374805" cy="63144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05" cy="63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79342" w14:textId="5777C450" w:rsidR="001142A5" w:rsidRDefault="001142A5" w:rsidP="001142A5">
      <w:pPr>
        <w:pStyle w:val="Footer"/>
        <w:jc w:val="center"/>
        <w:outlineLvl w:val="0"/>
      </w:pPr>
    </w:p>
    <w:p w14:paraId="263947CF" w14:textId="22B22FBB" w:rsidR="001142A5" w:rsidRDefault="001142A5" w:rsidP="001142A5">
      <w:pPr>
        <w:pStyle w:val="Footer"/>
        <w:tabs>
          <w:tab w:val="left" w:pos="4215"/>
        </w:tabs>
        <w:outlineLvl w:val="0"/>
      </w:pPr>
      <w:r>
        <w:tab/>
      </w:r>
      <w:r>
        <w:tab/>
      </w:r>
    </w:p>
    <w:p w14:paraId="7E849B33" w14:textId="18908863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091">
        <w:br w:type="page"/>
      </w:r>
      <w:r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4042ECE9" w14:textId="1737652F" w:rsidR="001142A5" w:rsidRPr="00A5108A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and Assets of Institutional AIF</w:t>
      </w:r>
      <w:r w:rsidR="00381386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41F3B101" w14:textId="0C4AB449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color w:val="000000"/>
          <w:sz w:val="22"/>
          <w:szCs w:val="22"/>
        </w:rPr>
      </w:pPr>
    </w:p>
    <w:p w14:paraId="3CDA3E24" w14:textId="5B634179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 w:rsidRPr="004C7355">
        <w:rPr>
          <w:b/>
          <w:bCs/>
          <w:color w:val="0000FF"/>
          <w:sz w:val="22"/>
          <w:szCs w:val="22"/>
        </w:rPr>
        <w:t>Net assets of institutional AIF</w:t>
      </w:r>
      <w:r w:rsidR="00CE3710">
        <w:rPr>
          <w:b/>
          <w:bCs/>
          <w:color w:val="0000FF"/>
          <w:sz w:val="22"/>
          <w:szCs w:val="22"/>
        </w:rPr>
        <w:t>s</w:t>
      </w:r>
      <w:r w:rsidRPr="004C7355">
        <w:rPr>
          <w:b/>
          <w:bCs/>
          <w:color w:val="0000FF"/>
          <w:sz w:val="22"/>
          <w:szCs w:val="22"/>
        </w:rPr>
        <w:t>, which are AIF</w:t>
      </w:r>
      <w:r w:rsidR="00CE3710">
        <w:rPr>
          <w:b/>
          <w:bCs/>
          <w:color w:val="0000FF"/>
          <w:sz w:val="22"/>
          <w:szCs w:val="22"/>
        </w:rPr>
        <w:t>s</w:t>
      </w:r>
      <w:r w:rsidRPr="004C7355">
        <w:rPr>
          <w:b/>
          <w:bCs/>
          <w:color w:val="0000FF"/>
          <w:sz w:val="22"/>
          <w:szCs w:val="22"/>
        </w:rPr>
        <w:t xml:space="preserve"> reserved for instit</w:t>
      </w:r>
      <w:r>
        <w:rPr>
          <w:b/>
          <w:bCs/>
          <w:color w:val="0000FF"/>
          <w:sz w:val="22"/>
          <w:szCs w:val="22"/>
        </w:rPr>
        <w:t xml:space="preserve">utional investors, increased </w:t>
      </w:r>
      <w:r w:rsidR="00367EC9">
        <w:rPr>
          <w:b/>
          <w:bCs/>
          <w:color w:val="0000FF"/>
          <w:sz w:val="22"/>
          <w:szCs w:val="22"/>
        </w:rPr>
        <w:t>1.4</w:t>
      </w:r>
      <w:r>
        <w:rPr>
          <w:b/>
          <w:bCs/>
          <w:color w:val="0000FF"/>
          <w:sz w:val="22"/>
          <w:szCs w:val="22"/>
        </w:rPr>
        <w:t xml:space="preserve">% to EUR </w:t>
      </w:r>
      <w:r w:rsidR="00367EC9">
        <w:rPr>
          <w:b/>
          <w:bCs/>
          <w:color w:val="0000FF"/>
          <w:sz w:val="22"/>
          <w:szCs w:val="22"/>
        </w:rPr>
        <w:t>3</w:t>
      </w:r>
      <w:r>
        <w:rPr>
          <w:b/>
          <w:bCs/>
          <w:color w:val="0000FF"/>
          <w:sz w:val="22"/>
          <w:szCs w:val="22"/>
        </w:rPr>
        <w:t>,</w:t>
      </w:r>
      <w:r w:rsidR="00367EC9">
        <w:rPr>
          <w:b/>
          <w:bCs/>
          <w:color w:val="0000FF"/>
          <w:sz w:val="22"/>
          <w:szCs w:val="22"/>
        </w:rPr>
        <w:t>005</w:t>
      </w:r>
      <w:r w:rsidRPr="004C7355">
        <w:rPr>
          <w:b/>
          <w:bCs/>
          <w:color w:val="0000FF"/>
          <w:sz w:val="22"/>
          <w:szCs w:val="22"/>
        </w:rPr>
        <w:t xml:space="preserve"> billion at end Q3 201</w:t>
      </w:r>
      <w:r w:rsidR="006445A0">
        <w:rPr>
          <w:b/>
          <w:bCs/>
          <w:color w:val="0000FF"/>
          <w:sz w:val="22"/>
          <w:szCs w:val="22"/>
        </w:rPr>
        <w:t>8</w:t>
      </w:r>
      <w:r w:rsidRPr="004C7355">
        <w:rPr>
          <w:b/>
          <w:bCs/>
          <w:color w:val="0000FF"/>
          <w:sz w:val="22"/>
          <w:szCs w:val="22"/>
        </w:rPr>
        <w:t xml:space="preserve">. </w:t>
      </w:r>
    </w:p>
    <w:p w14:paraId="1B8ECF8F" w14:textId="0A8A2EF7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</w:p>
    <w:p w14:paraId="2EBD6F31" w14:textId="33F0459D" w:rsidR="00367EC9" w:rsidRPr="006248E2" w:rsidRDefault="00367EC9" w:rsidP="00367EC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4C7355">
        <w:rPr>
          <w:color w:val="000000"/>
          <w:sz w:val="22"/>
          <w:szCs w:val="22"/>
        </w:rPr>
        <w:t>Net</w:t>
      </w:r>
      <w:r w:rsidRPr="004C7355">
        <w:rPr>
          <w:bCs/>
          <w:color w:val="000000"/>
          <w:sz w:val="22"/>
          <w:szCs w:val="22"/>
        </w:rPr>
        <w:t xml:space="preserve"> assets of institutiona</w:t>
      </w:r>
      <w:r>
        <w:rPr>
          <w:bCs/>
          <w:color w:val="000000"/>
          <w:sz w:val="22"/>
          <w:szCs w:val="22"/>
        </w:rPr>
        <w:t xml:space="preserve">l funds recorded large increases in </w:t>
      </w:r>
      <w:r w:rsidRPr="00981F44">
        <w:rPr>
          <w:bCs/>
          <w:color w:val="000000"/>
          <w:sz w:val="22"/>
          <w:szCs w:val="22"/>
          <w:lang w:val="en-US"/>
        </w:rPr>
        <w:t>real estate fund</w:t>
      </w:r>
      <w:r w:rsidRPr="004C7355">
        <w:rPr>
          <w:bCs/>
          <w:color w:val="000000"/>
          <w:sz w:val="22"/>
          <w:szCs w:val="22"/>
        </w:rPr>
        <w:t xml:space="preserve"> (</w:t>
      </w:r>
      <w:r>
        <w:rPr>
          <w:bCs/>
          <w:color w:val="000000"/>
          <w:sz w:val="22"/>
          <w:szCs w:val="22"/>
        </w:rPr>
        <w:t>3.9</w:t>
      </w:r>
      <w:r w:rsidRPr="004C7355">
        <w:rPr>
          <w:bCs/>
          <w:color w:val="000000"/>
          <w:sz w:val="22"/>
          <w:szCs w:val="22"/>
        </w:rPr>
        <w:t>%) and other funds (</w:t>
      </w:r>
      <w:r>
        <w:rPr>
          <w:bCs/>
          <w:color w:val="000000"/>
          <w:sz w:val="22"/>
          <w:szCs w:val="22"/>
        </w:rPr>
        <w:t>3.5</w:t>
      </w:r>
      <w:r w:rsidRPr="004C7355">
        <w:rPr>
          <w:bCs/>
          <w:color w:val="000000"/>
          <w:sz w:val="22"/>
          <w:szCs w:val="22"/>
        </w:rPr>
        <w:t>%)</w:t>
      </w:r>
      <w:r>
        <w:rPr>
          <w:bCs/>
          <w:color w:val="000000"/>
          <w:sz w:val="22"/>
          <w:szCs w:val="22"/>
        </w:rPr>
        <w:t>,</w:t>
      </w:r>
      <w:r w:rsidRPr="004C7355">
        <w:rPr>
          <w:bCs/>
          <w:color w:val="000000"/>
          <w:sz w:val="22"/>
          <w:szCs w:val="22"/>
        </w:rPr>
        <w:t xml:space="preserve"> to end the quarter at EUR </w:t>
      </w:r>
      <w:r>
        <w:rPr>
          <w:bCs/>
          <w:color w:val="000000"/>
          <w:sz w:val="22"/>
          <w:szCs w:val="22"/>
        </w:rPr>
        <w:t>211</w:t>
      </w:r>
      <w:r w:rsidRPr="004C7355">
        <w:rPr>
          <w:bCs/>
          <w:color w:val="000000"/>
          <w:sz w:val="22"/>
          <w:szCs w:val="22"/>
        </w:rPr>
        <w:t xml:space="preserve"> billion and EUR </w:t>
      </w:r>
      <w:r>
        <w:rPr>
          <w:bCs/>
          <w:color w:val="000000"/>
          <w:sz w:val="22"/>
          <w:szCs w:val="22"/>
        </w:rPr>
        <w:t>401</w:t>
      </w:r>
      <w:r w:rsidRPr="004C7355">
        <w:rPr>
          <w:bCs/>
          <w:color w:val="000000"/>
          <w:sz w:val="22"/>
          <w:szCs w:val="22"/>
        </w:rPr>
        <w:t xml:space="preserve"> billio</w:t>
      </w:r>
      <w:r>
        <w:rPr>
          <w:bCs/>
          <w:color w:val="000000"/>
          <w:sz w:val="22"/>
          <w:szCs w:val="22"/>
        </w:rPr>
        <w:t>n, respectively. M</w:t>
      </w:r>
      <w:r w:rsidRPr="004C7355">
        <w:rPr>
          <w:bCs/>
          <w:color w:val="000000"/>
          <w:sz w:val="22"/>
          <w:szCs w:val="22"/>
        </w:rPr>
        <w:t xml:space="preserve">ulti-asset funds increased </w:t>
      </w:r>
      <w:r>
        <w:rPr>
          <w:bCs/>
          <w:color w:val="000000"/>
          <w:sz w:val="22"/>
          <w:szCs w:val="22"/>
        </w:rPr>
        <w:t>1.4</w:t>
      </w:r>
      <w:r w:rsidRPr="004C7355">
        <w:rPr>
          <w:bCs/>
          <w:color w:val="000000"/>
          <w:sz w:val="22"/>
          <w:szCs w:val="22"/>
        </w:rPr>
        <w:t xml:space="preserve">% to finish the quarter at EUR </w:t>
      </w:r>
      <w:r>
        <w:rPr>
          <w:bCs/>
          <w:color w:val="000000"/>
          <w:sz w:val="22"/>
          <w:szCs w:val="22"/>
        </w:rPr>
        <w:t>1,037</w:t>
      </w:r>
      <w:r w:rsidRPr="004C7355">
        <w:rPr>
          <w:bCs/>
          <w:color w:val="000000"/>
          <w:sz w:val="22"/>
          <w:szCs w:val="22"/>
        </w:rPr>
        <w:t xml:space="preserve"> billion and </w:t>
      </w:r>
      <w:r>
        <w:rPr>
          <w:bCs/>
          <w:color w:val="000000"/>
          <w:sz w:val="22"/>
          <w:szCs w:val="22"/>
        </w:rPr>
        <w:t>money market</w:t>
      </w:r>
      <w:r w:rsidRPr="004C7355">
        <w:rPr>
          <w:bCs/>
          <w:color w:val="000000"/>
          <w:sz w:val="22"/>
          <w:szCs w:val="22"/>
        </w:rPr>
        <w:t xml:space="preserve"> funds increased by </w:t>
      </w:r>
      <w:r>
        <w:rPr>
          <w:bCs/>
          <w:color w:val="000000"/>
          <w:sz w:val="22"/>
          <w:szCs w:val="22"/>
        </w:rPr>
        <w:t>0.6</w:t>
      </w:r>
      <w:r w:rsidRPr="004C7355">
        <w:rPr>
          <w:bCs/>
          <w:color w:val="000000"/>
          <w:sz w:val="22"/>
          <w:szCs w:val="22"/>
        </w:rPr>
        <w:t xml:space="preserve">% to </w:t>
      </w:r>
      <w:r>
        <w:rPr>
          <w:bCs/>
          <w:color w:val="000000"/>
          <w:sz w:val="22"/>
          <w:szCs w:val="22"/>
        </w:rPr>
        <w:t xml:space="preserve">EUR 10 billion. Both </w:t>
      </w:r>
      <w:r w:rsidR="006248E2" w:rsidRPr="004C7355">
        <w:rPr>
          <w:bCs/>
          <w:color w:val="000000"/>
          <w:sz w:val="22"/>
          <w:szCs w:val="22"/>
        </w:rPr>
        <w:t>institutional equity funds</w:t>
      </w:r>
      <w:r w:rsidR="006248E2">
        <w:rPr>
          <w:bCs/>
          <w:color w:val="000000"/>
          <w:sz w:val="22"/>
          <w:szCs w:val="22"/>
        </w:rPr>
        <w:t xml:space="preserve"> and bond funds </w:t>
      </w:r>
      <w:r w:rsidRPr="00E4443A">
        <w:rPr>
          <w:color w:val="000000"/>
          <w:sz w:val="22"/>
          <w:szCs w:val="22"/>
        </w:rPr>
        <w:t xml:space="preserve">experienced </w:t>
      </w:r>
      <w:r>
        <w:rPr>
          <w:color w:val="000000"/>
          <w:sz w:val="22"/>
          <w:szCs w:val="22"/>
        </w:rPr>
        <w:t>a decrease</w:t>
      </w:r>
      <w:r w:rsidR="006248E2">
        <w:rPr>
          <w:color w:val="000000"/>
          <w:sz w:val="22"/>
          <w:szCs w:val="22"/>
        </w:rPr>
        <w:t xml:space="preserve"> </w:t>
      </w:r>
      <w:r w:rsidR="003845E9">
        <w:rPr>
          <w:color w:val="000000"/>
          <w:sz w:val="22"/>
          <w:szCs w:val="22"/>
        </w:rPr>
        <w:t xml:space="preserve">in net assets, </w:t>
      </w:r>
      <w:r w:rsidR="006248E2">
        <w:rPr>
          <w:color w:val="000000"/>
          <w:sz w:val="22"/>
          <w:szCs w:val="22"/>
        </w:rPr>
        <w:t>0.2% and 1.5%</w:t>
      </w:r>
      <w:r w:rsidR="003845E9">
        <w:rPr>
          <w:color w:val="000000"/>
          <w:sz w:val="22"/>
          <w:szCs w:val="22"/>
        </w:rPr>
        <w:t>,</w:t>
      </w:r>
      <w:r w:rsidR="006248E2">
        <w:rPr>
          <w:color w:val="000000"/>
          <w:sz w:val="22"/>
          <w:szCs w:val="22"/>
        </w:rPr>
        <w:t xml:space="preserve"> respectively</w:t>
      </w:r>
      <w:r w:rsidRPr="00A5108A">
        <w:rPr>
          <w:color w:val="000000"/>
          <w:sz w:val="22"/>
          <w:szCs w:val="22"/>
        </w:rPr>
        <w:t xml:space="preserve">. </w:t>
      </w:r>
    </w:p>
    <w:p w14:paraId="0DB264DD" w14:textId="77777777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Cs/>
          <w:color w:val="000000"/>
          <w:sz w:val="22"/>
          <w:szCs w:val="22"/>
          <w:lang w:val="en-GB"/>
        </w:rPr>
      </w:pPr>
    </w:p>
    <w:p w14:paraId="0FD428FC" w14:textId="3A217DD0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color w:val="000000"/>
          <w:sz w:val="22"/>
          <w:szCs w:val="22"/>
        </w:rPr>
      </w:pPr>
      <w:r w:rsidRPr="004C7355">
        <w:rPr>
          <w:color w:val="000000"/>
          <w:sz w:val="22"/>
          <w:szCs w:val="22"/>
        </w:rPr>
        <w:t>Institutional AIF</w:t>
      </w:r>
      <w:r w:rsidR="006248E2">
        <w:rPr>
          <w:color w:val="000000"/>
          <w:sz w:val="22"/>
          <w:szCs w:val="22"/>
        </w:rPr>
        <w:t>s</w:t>
      </w:r>
      <w:r w:rsidRPr="004C7355">
        <w:rPr>
          <w:color w:val="000000"/>
          <w:sz w:val="22"/>
          <w:szCs w:val="22"/>
        </w:rPr>
        <w:t xml:space="preserve"> recorded net sales of EUR </w:t>
      </w:r>
      <w:r w:rsidR="006248E2">
        <w:rPr>
          <w:color w:val="000000"/>
          <w:sz w:val="22"/>
          <w:szCs w:val="22"/>
        </w:rPr>
        <w:t>32.5</w:t>
      </w:r>
      <w:r w:rsidRPr="004C7355">
        <w:rPr>
          <w:color w:val="000000"/>
          <w:sz w:val="22"/>
          <w:szCs w:val="22"/>
        </w:rPr>
        <w:t xml:space="preserve"> billion in Q3 201</w:t>
      </w:r>
      <w:r w:rsidR="006248E2">
        <w:rPr>
          <w:color w:val="000000"/>
          <w:sz w:val="22"/>
          <w:szCs w:val="22"/>
        </w:rPr>
        <w:t>8</w:t>
      </w:r>
      <w:r w:rsidRPr="004C7355">
        <w:rPr>
          <w:color w:val="000000"/>
          <w:sz w:val="22"/>
          <w:szCs w:val="22"/>
        </w:rPr>
        <w:t xml:space="preserve">, </w:t>
      </w:r>
      <w:r w:rsidR="0050515B" w:rsidRPr="0050515B">
        <w:rPr>
          <w:color w:val="000000"/>
          <w:sz w:val="22"/>
          <w:szCs w:val="22"/>
        </w:rPr>
        <w:t>higher tha</w:t>
      </w:r>
      <w:r w:rsidR="0050515B">
        <w:rPr>
          <w:color w:val="000000"/>
          <w:sz w:val="22"/>
          <w:szCs w:val="22"/>
        </w:rPr>
        <w:t xml:space="preserve">n in Q2 2018 (EUR 28.6 billion), but </w:t>
      </w:r>
      <w:r w:rsidRPr="004C7355">
        <w:rPr>
          <w:color w:val="000000"/>
          <w:sz w:val="22"/>
          <w:szCs w:val="22"/>
        </w:rPr>
        <w:t>lower than</w:t>
      </w:r>
      <w:r>
        <w:rPr>
          <w:color w:val="000000"/>
          <w:sz w:val="22"/>
          <w:szCs w:val="22"/>
        </w:rPr>
        <w:t xml:space="preserve"> in Q</w:t>
      </w:r>
      <w:r w:rsidR="007D0CDA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201</w:t>
      </w:r>
      <w:r w:rsidR="007D0CDA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(EUR </w:t>
      </w:r>
      <w:r w:rsidR="007D0CDA">
        <w:rPr>
          <w:color w:val="000000"/>
          <w:sz w:val="22"/>
          <w:szCs w:val="22"/>
        </w:rPr>
        <w:t>57.3</w:t>
      </w:r>
      <w:r>
        <w:rPr>
          <w:color w:val="000000"/>
          <w:sz w:val="22"/>
          <w:szCs w:val="22"/>
        </w:rPr>
        <w:t xml:space="preserve"> </w:t>
      </w:r>
      <w:r w:rsidR="006C2037" w:rsidRPr="004C7355">
        <w:rPr>
          <w:color w:val="000000"/>
          <w:sz w:val="22"/>
          <w:szCs w:val="22"/>
        </w:rPr>
        <w:t>billion</w:t>
      </w:r>
      <w:r w:rsidR="0050515B">
        <w:rPr>
          <w:color w:val="000000"/>
          <w:sz w:val="22"/>
          <w:szCs w:val="22"/>
        </w:rPr>
        <w:t>).</w:t>
      </w:r>
    </w:p>
    <w:p w14:paraId="6A9268E4" w14:textId="5CB42271" w:rsidR="001142A5" w:rsidRPr="00C532F3" w:rsidRDefault="001142A5" w:rsidP="001142A5">
      <w:pPr>
        <w:pStyle w:val="Footer"/>
        <w:jc w:val="center"/>
        <w:rPr>
          <w:lang w:val="en-US"/>
        </w:rPr>
      </w:pPr>
    </w:p>
    <w:p w14:paraId="0DCEE52C" w14:textId="0D668F9D" w:rsidR="001142A5" w:rsidRDefault="001142A5" w:rsidP="001142A5">
      <w:pPr>
        <w:pStyle w:val="Footer"/>
        <w:jc w:val="center"/>
      </w:pPr>
    </w:p>
    <w:p w14:paraId="553A8381" w14:textId="567E4157" w:rsidR="001142A5" w:rsidRDefault="001142A5" w:rsidP="001142A5">
      <w:pPr>
        <w:pStyle w:val="Footer"/>
        <w:jc w:val="center"/>
      </w:pPr>
    </w:p>
    <w:p w14:paraId="40D3C062" w14:textId="449D8ED5" w:rsidR="001142A5" w:rsidRDefault="00A455E3" w:rsidP="001142A5">
      <w:pPr>
        <w:pStyle w:val="Footer"/>
        <w:jc w:val="center"/>
      </w:pPr>
      <w:r w:rsidRPr="00A455E3">
        <w:rPr>
          <w:noProof/>
          <w:lang w:val="en-US"/>
        </w:rPr>
        <w:drawing>
          <wp:anchor distT="0" distB="0" distL="114300" distR="114300" simplePos="0" relativeHeight="251758592" behindDoc="0" locked="0" layoutInCell="1" allowOverlap="1" wp14:anchorId="57868E38" wp14:editId="790A2D19">
            <wp:simplePos x="0" y="0"/>
            <wp:positionH relativeFrom="margin">
              <wp:align>center</wp:align>
            </wp:positionH>
            <wp:positionV relativeFrom="paragraph">
              <wp:posOffset>4593</wp:posOffset>
            </wp:positionV>
            <wp:extent cx="5356800" cy="5578291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557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8453F" w14:textId="3E470A80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54CF8" w14:textId="3AF51C56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F679B9" w14:textId="7972C8F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5BA86773" w14:textId="77777777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14:paraId="66959E49" w14:textId="77777777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23B5BF4D" w14:textId="0D0E1AB5" w:rsidR="000B6BE1" w:rsidRPr="00262840" w:rsidRDefault="000B6BE1" w:rsidP="000B6BE1">
      <w:pPr>
        <w:pStyle w:val="FootnoteTex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Nineteen domiciles</w:t>
      </w:r>
      <w:r w:rsidRPr="00262840">
        <w:rPr>
          <w:b/>
          <w:bCs/>
          <w:color w:val="0000FF"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</w:rPr>
        <w:t>recorded net asset growth in Q3 2018, with net assets of AIFs reaching EUR 6,064 billion.</w:t>
      </w:r>
    </w:p>
    <w:p w14:paraId="27355B83" w14:textId="77777777" w:rsidR="00960108" w:rsidRDefault="00960108" w:rsidP="00960108">
      <w:pPr>
        <w:jc w:val="both"/>
        <w:rPr>
          <w:b/>
          <w:bCs/>
          <w:color w:val="0000FF"/>
          <w:sz w:val="22"/>
          <w:szCs w:val="22"/>
        </w:rPr>
      </w:pPr>
    </w:p>
    <w:p w14:paraId="27F06DEC" w14:textId="77777777" w:rsidR="00B17099" w:rsidRDefault="00960108" w:rsidP="00960108">
      <w:pPr>
        <w:jc w:val="both"/>
        <w:rPr>
          <w:bCs/>
          <w:color w:val="000000"/>
          <w:sz w:val="22"/>
          <w:szCs w:val="22"/>
        </w:rPr>
      </w:pPr>
      <w:r w:rsidRPr="0044132F">
        <w:rPr>
          <w:bCs/>
          <w:color w:val="000000"/>
          <w:sz w:val="22"/>
          <w:szCs w:val="22"/>
        </w:rPr>
        <w:t>In the</w:t>
      </w:r>
      <w:r w:rsidRPr="004C7355">
        <w:rPr>
          <w:bCs/>
          <w:color w:val="000000"/>
          <w:sz w:val="22"/>
          <w:szCs w:val="22"/>
        </w:rPr>
        <w:t xml:space="preserve"> largest AIF domiciles, the largest net asset growth in Q3 201</w:t>
      </w:r>
      <w:r w:rsidR="00803595">
        <w:rPr>
          <w:bCs/>
          <w:color w:val="000000"/>
          <w:sz w:val="22"/>
          <w:szCs w:val="22"/>
        </w:rPr>
        <w:t>8</w:t>
      </w:r>
      <w:r w:rsidRPr="004C7355">
        <w:rPr>
          <w:bCs/>
          <w:color w:val="000000"/>
          <w:sz w:val="22"/>
          <w:szCs w:val="22"/>
        </w:rPr>
        <w:t xml:space="preserve"> was seen in </w:t>
      </w:r>
      <w:r w:rsidR="00803595">
        <w:rPr>
          <w:bCs/>
          <w:color w:val="000000"/>
          <w:sz w:val="22"/>
          <w:szCs w:val="22"/>
        </w:rPr>
        <w:t xml:space="preserve">Ireland </w:t>
      </w:r>
      <w:r w:rsidRPr="004C7355">
        <w:rPr>
          <w:bCs/>
          <w:color w:val="000000"/>
          <w:sz w:val="22"/>
          <w:szCs w:val="22"/>
        </w:rPr>
        <w:t>(2.8%), followed by the Netherlands (2.</w:t>
      </w:r>
      <w:r w:rsidR="00803595">
        <w:rPr>
          <w:bCs/>
          <w:color w:val="000000"/>
          <w:sz w:val="22"/>
          <w:szCs w:val="22"/>
        </w:rPr>
        <w:t>2</w:t>
      </w:r>
      <w:r w:rsidRPr="004C7355">
        <w:rPr>
          <w:bCs/>
          <w:color w:val="000000"/>
          <w:sz w:val="22"/>
          <w:szCs w:val="22"/>
        </w:rPr>
        <w:t xml:space="preserve">%), </w:t>
      </w:r>
      <w:r w:rsidR="00803595">
        <w:rPr>
          <w:bCs/>
          <w:color w:val="000000"/>
          <w:sz w:val="22"/>
          <w:szCs w:val="22"/>
        </w:rPr>
        <w:t>the United Kingdom</w:t>
      </w:r>
      <w:r w:rsidRPr="004C7355">
        <w:rPr>
          <w:bCs/>
          <w:color w:val="000000"/>
          <w:sz w:val="22"/>
          <w:szCs w:val="22"/>
        </w:rPr>
        <w:t xml:space="preserve"> (</w:t>
      </w:r>
      <w:r w:rsidR="00803595">
        <w:rPr>
          <w:bCs/>
          <w:color w:val="000000"/>
          <w:sz w:val="22"/>
          <w:szCs w:val="22"/>
        </w:rPr>
        <w:t>1.7</w:t>
      </w:r>
      <w:r w:rsidRPr="004C7355">
        <w:rPr>
          <w:bCs/>
          <w:color w:val="000000"/>
          <w:sz w:val="22"/>
          <w:szCs w:val="22"/>
        </w:rPr>
        <w:t>%), Germany (</w:t>
      </w:r>
      <w:r w:rsidR="00803595">
        <w:rPr>
          <w:bCs/>
          <w:color w:val="000000"/>
          <w:sz w:val="22"/>
          <w:szCs w:val="22"/>
        </w:rPr>
        <w:t>1.6</w:t>
      </w:r>
      <w:r w:rsidRPr="004C7355">
        <w:rPr>
          <w:bCs/>
          <w:color w:val="000000"/>
          <w:sz w:val="22"/>
          <w:szCs w:val="22"/>
        </w:rPr>
        <w:t xml:space="preserve">%), </w:t>
      </w:r>
      <w:r w:rsidR="00BD3DE3" w:rsidRPr="004C7355">
        <w:rPr>
          <w:bCs/>
          <w:color w:val="000000"/>
          <w:sz w:val="22"/>
          <w:szCs w:val="22"/>
        </w:rPr>
        <w:t xml:space="preserve">Luxembourg </w:t>
      </w:r>
      <w:r w:rsidRPr="004C7355">
        <w:rPr>
          <w:bCs/>
          <w:color w:val="000000"/>
          <w:sz w:val="22"/>
          <w:szCs w:val="22"/>
        </w:rPr>
        <w:t>(1.</w:t>
      </w:r>
      <w:r w:rsidR="00BD3DE3">
        <w:rPr>
          <w:bCs/>
          <w:color w:val="000000"/>
          <w:sz w:val="22"/>
          <w:szCs w:val="22"/>
        </w:rPr>
        <w:t>5</w:t>
      </w:r>
      <w:r w:rsidRPr="004C7355">
        <w:rPr>
          <w:bCs/>
          <w:color w:val="000000"/>
          <w:sz w:val="22"/>
          <w:szCs w:val="22"/>
        </w:rPr>
        <w:t xml:space="preserve">%) and </w:t>
      </w:r>
      <w:r w:rsidR="00BD3DE3" w:rsidRPr="004C7355">
        <w:rPr>
          <w:bCs/>
          <w:color w:val="000000"/>
          <w:sz w:val="22"/>
          <w:szCs w:val="22"/>
        </w:rPr>
        <w:t xml:space="preserve">France </w:t>
      </w:r>
      <w:r w:rsidRPr="004C7355">
        <w:rPr>
          <w:bCs/>
          <w:color w:val="000000"/>
          <w:sz w:val="22"/>
          <w:szCs w:val="22"/>
        </w:rPr>
        <w:t>(</w:t>
      </w:r>
      <w:r w:rsidR="00BD3DE3">
        <w:rPr>
          <w:bCs/>
          <w:color w:val="000000"/>
          <w:sz w:val="22"/>
          <w:szCs w:val="22"/>
        </w:rPr>
        <w:t>1.2</w:t>
      </w:r>
      <w:r w:rsidRPr="004C7355">
        <w:rPr>
          <w:bCs/>
          <w:color w:val="000000"/>
          <w:sz w:val="22"/>
          <w:szCs w:val="22"/>
        </w:rPr>
        <w:t xml:space="preserve">%). </w:t>
      </w:r>
    </w:p>
    <w:p w14:paraId="51631C58" w14:textId="77777777" w:rsidR="00B17099" w:rsidRDefault="00B17099" w:rsidP="00960108">
      <w:pPr>
        <w:jc w:val="both"/>
        <w:rPr>
          <w:bCs/>
          <w:color w:val="000000"/>
          <w:sz w:val="22"/>
          <w:szCs w:val="22"/>
        </w:rPr>
      </w:pPr>
    </w:p>
    <w:p w14:paraId="45046EEE" w14:textId="4DB5C569" w:rsidR="00960108" w:rsidRPr="004C7355" w:rsidRDefault="00960108" w:rsidP="00960108">
      <w:pPr>
        <w:jc w:val="both"/>
        <w:rPr>
          <w:bCs/>
          <w:color w:val="000000"/>
          <w:sz w:val="22"/>
          <w:szCs w:val="22"/>
        </w:rPr>
      </w:pPr>
      <w:r w:rsidRPr="004C7355">
        <w:rPr>
          <w:bCs/>
          <w:color w:val="000000"/>
          <w:sz w:val="22"/>
          <w:szCs w:val="22"/>
        </w:rPr>
        <w:t xml:space="preserve">Elsewhere in Europe, net assets grew strongly in </w:t>
      </w:r>
      <w:r w:rsidR="00106851">
        <w:rPr>
          <w:bCs/>
          <w:color w:val="000000"/>
          <w:sz w:val="22"/>
          <w:szCs w:val="22"/>
        </w:rPr>
        <w:t xml:space="preserve">Czech Republic (9%), Sweden (7.0%) and </w:t>
      </w:r>
      <w:r w:rsidRPr="004C7355">
        <w:rPr>
          <w:bCs/>
          <w:color w:val="000000"/>
          <w:sz w:val="22"/>
          <w:szCs w:val="22"/>
        </w:rPr>
        <w:t>Croatia (</w:t>
      </w:r>
      <w:r w:rsidR="00BD3DE3">
        <w:rPr>
          <w:bCs/>
          <w:color w:val="000000"/>
          <w:sz w:val="22"/>
          <w:szCs w:val="22"/>
        </w:rPr>
        <w:t>6.6</w:t>
      </w:r>
      <w:r w:rsidR="00106851">
        <w:rPr>
          <w:bCs/>
          <w:color w:val="000000"/>
          <w:sz w:val="22"/>
          <w:szCs w:val="22"/>
        </w:rPr>
        <w:t>%)</w:t>
      </w:r>
      <w:r w:rsidRPr="004C7355">
        <w:rPr>
          <w:bCs/>
          <w:color w:val="000000"/>
          <w:sz w:val="22"/>
          <w:szCs w:val="22"/>
        </w:rPr>
        <w:t>.</w:t>
      </w:r>
    </w:p>
    <w:p w14:paraId="7AAF07CF" w14:textId="77777777" w:rsidR="001142A5" w:rsidRPr="00BB2572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27CB8E3B" w14:textId="6913D2A0" w:rsidR="001142A5" w:rsidRPr="00B50254" w:rsidRDefault="00A84EA0" w:rsidP="00B50254">
      <w:pPr>
        <w:pStyle w:val="FootnoteText"/>
        <w:jc w:val="both"/>
        <w:rPr>
          <w:bCs/>
          <w:color w:val="000000"/>
          <w:sz w:val="22"/>
          <w:szCs w:val="22"/>
        </w:rPr>
      </w:pPr>
      <w:r w:rsidRPr="00A84EA0">
        <w:rPr>
          <w:noProof/>
        </w:rPr>
        <w:drawing>
          <wp:anchor distT="0" distB="0" distL="114300" distR="114300" simplePos="0" relativeHeight="251752448" behindDoc="0" locked="0" layoutInCell="1" allowOverlap="1" wp14:anchorId="3EF3D57C" wp14:editId="45D4B626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5825870" cy="6012000"/>
            <wp:effectExtent l="0" t="0" r="3810" b="825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870" cy="6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C34FD" w14:textId="495C468D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29B9A9" w14:textId="29136B9B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C44382" w14:textId="423D3D06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5EDE7E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8A62CF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2CFD93A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1715B866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20E6D415" w14:textId="024490BF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/>
          <w:color w:val="0000FF"/>
          <w:sz w:val="22"/>
          <w:szCs w:val="22"/>
          <w:lang w:val="en-GB"/>
        </w:rPr>
      </w:pPr>
      <w:r>
        <w:rPr>
          <w:b/>
          <w:color w:val="0000FF"/>
          <w:sz w:val="22"/>
          <w:szCs w:val="22"/>
          <w:lang w:val="en-GB"/>
        </w:rPr>
        <w:t>The combined net sales of the investment industry market in Europe, i.e. the market for UCITS and AIF</w:t>
      </w:r>
      <w:r w:rsidR="009F475A">
        <w:rPr>
          <w:b/>
          <w:color w:val="0000FF"/>
          <w:sz w:val="22"/>
          <w:szCs w:val="22"/>
          <w:lang w:val="en-GB"/>
        </w:rPr>
        <w:t>s</w:t>
      </w:r>
      <w:r>
        <w:rPr>
          <w:b/>
          <w:color w:val="0000FF"/>
          <w:sz w:val="22"/>
          <w:szCs w:val="22"/>
          <w:lang w:val="en-GB"/>
        </w:rPr>
        <w:t xml:space="preserve">, recorded net sales </w:t>
      </w:r>
      <w:r w:rsidRPr="004C7355">
        <w:rPr>
          <w:b/>
          <w:bCs/>
          <w:color w:val="0000FF"/>
          <w:sz w:val="22"/>
          <w:szCs w:val="22"/>
        </w:rPr>
        <w:t xml:space="preserve">of EUR </w:t>
      </w:r>
      <w:r w:rsidR="00BD3DE3">
        <w:rPr>
          <w:b/>
          <w:bCs/>
          <w:color w:val="0000FF"/>
          <w:sz w:val="22"/>
          <w:szCs w:val="22"/>
        </w:rPr>
        <w:t>40</w:t>
      </w:r>
      <w:r w:rsidRPr="004C7355">
        <w:rPr>
          <w:b/>
          <w:bCs/>
          <w:color w:val="0000FF"/>
          <w:sz w:val="22"/>
          <w:szCs w:val="22"/>
        </w:rPr>
        <w:t xml:space="preserve"> billion during Q3 201</w:t>
      </w:r>
      <w:r w:rsidR="00BD3DE3">
        <w:rPr>
          <w:b/>
          <w:bCs/>
          <w:color w:val="0000FF"/>
          <w:sz w:val="22"/>
          <w:szCs w:val="22"/>
        </w:rPr>
        <w:t>8</w:t>
      </w:r>
      <w:r w:rsidRPr="004C7355">
        <w:rPr>
          <w:b/>
          <w:bCs/>
          <w:color w:val="0000FF"/>
          <w:sz w:val="22"/>
          <w:szCs w:val="22"/>
        </w:rPr>
        <w:t xml:space="preserve">, </w:t>
      </w:r>
      <w:r w:rsidR="00AD18D3">
        <w:rPr>
          <w:b/>
          <w:bCs/>
          <w:color w:val="0000FF"/>
          <w:sz w:val="22"/>
          <w:szCs w:val="22"/>
        </w:rPr>
        <w:t>up from</w:t>
      </w:r>
      <w:r w:rsidRPr="004C7355">
        <w:rPr>
          <w:b/>
          <w:bCs/>
          <w:color w:val="0000FF"/>
          <w:sz w:val="22"/>
          <w:szCs w:val="22"/>
        </w:rPr>
        <w:t xml:space="preserve"> EUR </w:t>
      </w:r>
      <w:r w:rsidR="00BD3DE3">
        <w:rPr>
          <w:b/>
          <w:bCs/>
          <w:color w:val="0000FF"/>
          <w:sz w:val="22"/>
          <w:szCs w:val="22"/>
        </w:rPr>
        <w:t>31</w:t>
      </w:r>
      <w:r w:rsidRPr="004C7355">
        <w:rPr>
          <w:b/>
          <w:bCs/>
          <w:color w:val="0000FF"/>
          <w:sz w:val="22"/>
          <w:szCs w:val="22"/>
        </w:rPr>
        <w:t xml:space="preserve"> billion in Q2</w:t>
      </w:r>
      <w:r>
        <w:rPr>
          <w:b/>
          <w:bCs/>
          <w:color w:val="0000FF"/>
          <w:sz w:val="22"/>
          <w:szCs w:val="22"/>
        </w:rPr>
        <w:t xml:space="preserve"> 201</w:t>
      </w:r>
      <w:r w:rsidR="00BD3DE3">
        <w:rPr>
          <w:b/>
          <w:bCs/>
          <w:color w:val="0000FF"/>
          <w:sz w:val="22"/>
          <w:szCs w:val="22"/>
        </w:rPr>
        <w:t>8</w:t>
      </w:r>
      <w:r w:rsidRPr="004C7355">
        <w:rPr>
          <w:b/>
          <w:bCs/>
          <w:color w:val="0000FF"/>
          <w:sz w:val="22"/>
          <w:szCs w:val="22"/>
        </w:rPr>
        <w:t xml:space="preserve">. </w:t>
      </w:r>
      <w:r>
        <w:rPr>
          <w:b/>
          <w:color w:val="0000FF"/>
          <w:sz w:val="22"/>
          <w:szCs w:val="22"/>
          <w:lang w:val="en-GB"/>
        </w:rPr>
        <w:t>From January until September 201</w:t>
      </w:r>
      <w:r w:rsidR="00BD3DE3">
        <w:rPr>
          <w:b/>
          <w:color w:val="0000FF"/>
          <w:sz w:val="22"/>
          <w:szCs w:val="22"/>
          <w:lang w:val="en-GB"/>
        </w:rPr>
        <w:t>8</w:t>
      </w:r>
      <w:r w:rsidRPr="004C7355">
        <w:rPr>
          <w:b/>
          <w:color w:val="0000FF"/>
          <w:sz w:val="22"/>
          <w:szCs w:val="22"/>
          <w:lang w:val="en-GB"/>
        </w:rPr>
        <w:t xml:space="preserve">, European investment funds attracted net sales of EUR </w:t>
      </w:r>
      <w:r w:rsidR="00BD3DE3">
        <w:rPr>
          <w:b/>
          <w:color w:val="0000FF"/>
          <w:sz w:val="22"/>
          <w:szCs w:val="22"/>
          <w:lang w:val="en-GB"/>
        </w:rPr>
        <w:t>293</w:t>
      </w:r>
      <w:r w:rsidRPr="004C7355">
        <w:rPr>
          <w:b/>
          <w:color w:val="0000FF"/>
          <w:sz w:val="22"/>
          <w:szCs w:val="22"/>
          <w:lang w:val="en-GB"/>
        </w:rPr>
        <w:t xml:space="preserve"> billion</w:t>
      </w:r>
      <w:r w:rsidR="00BD3DE3">
        <w:rPr>
          <w:b/>
          <w:color w:val="0000FF"/>
          <w:sz w:val="22"/>
          <w:szCs w:val="22"/>
          <w:lang w:val="en-GB"/>
        </w:rPr>
        <w:t>.</w:t>
      </w:r>
      <w:r>
        <w:rPr>
          <w:b/>
          <w:color w:val="0000FF"/>
          <w:sz w:val="22"/>
          <w:szCs w:val="22"/>
          <w:lang w:val="en-GB"/>
        </w:rPr>
        <w:t xml:space="preserve"> </w:t>
      </w:r>
    </w:p>
    <w:p w14:paraId="5262FA2D" w14:textId="77777777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GB"/>
        </w:rPr>
      </w:pPr>
    </w:p>
    <w:p w14:paraId="3A24744D" w14:textId="6535611B" w:rsidR="00960108" w:rsidRPr="004C7355" w:rsidRDefault="00960108" w:rsidP="00960108">
      <w:pPr>
        <w:widowControl w:val="0"/>
        <w:tabs>
          <w:tab w:val="left" w:pos="720"/>
          <w:tab w:val="left" w:pos="4320"/>
          <w:tab w:val="right" w:pos="8640"/>
        </w:tabs>
        <w:spacing w:line="260" w:lineRule="exact"/>
        <w:jc w:val="both"/>
        <w:rPr>
          <w:bCs/>
          <w:color w:val="000000"/>
          <w:sz w:val="22"/>
          <w:szCs w:val="22"/>
          <w:lang w:val="en-GB"/>
        </w:rPr>
      </w:pPr>
      <w:r w:rsidRPr="004C7355">
        <w:rPr>
          <w:bCs/>
          <w:color w:val="000000"/>
          <w:sz w:val="22"/>
          <w:szCs w:val="22"/>
          <w:lang w:val="en-GB"/>
        </w:rPr>
        <w:t xml:space="preserve">Net sales of equity funds increased to EUR </w:t>
      </w:r>
      <w:r w:rsidR="00513DFF">
        <w:rPr>
          <w:bCs/>
          <w:color w:val="000000"/>
          <w:sz w:val="22"/>
          <w:szCs w:val="22"/>
          <w:lang w:val="en-GB"/>
        </w:rPr>
        <w:t>17</w:t>
      </w:r>
      <w:r w:rsidRPr="004C7355">
        <w:rPr>
          <w:bCs/>
          <w:color w:val="000000"/>
          <w:sz w:val="22"/>
          <w:szCs w:val="22"/>
          <w:lang w:val="en-GB"/>
        </w:rPr>
        <w:t xml:space="preserve"> billion in Q3 201</w:t>
      </w:r>
      <w:r w:rsidR="00513DFF">
        <w:rPr>
          <w:bCs/>
          <w:color w:val="000000"/>
          <w:sz w:val="22"/>
          <w:szCs w:val="22"/>
          <w:lang w:val="en-GB"/>
        </w:rPr>
        <w:t>8</w:t>
      </w:r>
      <w:r>
        <w:rPr>
          <w:bCs/>
          <w:color w:val="000000"/>
          <w:sz w:val="22"/>
          <w:szCs w:val="22"/>
          <w:lang w:val="en-GB"/>
        </w:rPr>
        <w:t>,</w:t>
      </w:r>
      <w:r w:rsidR="00513DFF">
        <w:rPr>
          <w:bCs/>
          <w:color w:val="000000"/>
          <w:sz w:val="22"/>
          <w:szCs w:val="22"/>
          <w:lang w:val="en-GB"/>
        </w:rPr>
        <w:t xml:space="preserve"> compared to EUR 1</w:t>
      </w:r>
      <w:r w:rsidRPr="004C7355">
        <w:rPr>
          <w:bCs/>
          <w:color w:val="000000"/>
          <w:sz w:val="22"/>
          <w:szCs w:val="22"/>
          <w:lang w:val="en-GB"/>
        </w:rPr>
        <w:t xml:space="preserve"> billion in the previous quarter. </w:t>
      </w:r>
      <w:r w:rsidR="00513DFF">
        <w:rPr>
          <w:bCs/>
          <w:color w:val="000000"/>
          <w:sz w:val="22"/>
          <w:szCs w:val="22"/>
        </w:rPr>
        <w:t>B</w:t>
      </w:r>
      <w:r w:rsidR="00513DFF" w:rsidRPr="00A7353F">
        <w:rPr>
          <w:bCs/>
          <w:color w:val="000000"/>
          <w:sz w:val="22"/>
          <w:szCs w:val="22"/>
        </w:rPr>
        <w:t xml:space="preserve">ond funds </w:t>
      </w:r>
      <w:r w:rsidR="00513DFF">
        <w:rPr>
          <w:bCs/>
          <w:color w:val="000000"/>
          <w:sz w:val="22"/>
          <w:szCs w:val="22"/>
        </w:rPr>
        <w:t xml:space="preserve">recorded net outflows of EUR </w:t>
      </w:r>
      <w:r w:rsidR="00B26DA7">
        <w:rPr>
          <w:bCs/>
          <w:color w:val="000000"/>
          <w:sz w:val="22"/>
          <w:szCs w:val="22"/>
        </w:rPr>
        <w:t>10</w:t>
      </w:r>
      <w:r w:rsidR="00513DFF">
        <w:rPr>
          <w:bCs/>
          <w:color w:val="000000"/>
          <w:sz w:val="22"/>
          <w:szCs w:val="22"/>
        </w:rPr>
        <w:t xml:space="preserve"> billion in Q</w:t>
      </w:r>
      <w:r w:rsidR="00861211">
        <w:rPr>
          <w:bCs/>
          <w:color w:val="000000"/>
          <w:sz w:val="22"/>
          <w:szCs w:val="22"/>
        </w:rPr>
        <w:t>3</w:t>
      </w:r>
      <w:r w:rsidR="00F1473E">
        <w:rPr>
          <w:bCs/>
          <w:color w:val="000000"/>
          <w:sz w:val="22"/>
          <w:szCs w:val="22"/>
        </w:rPr>
        <w:t xml:space="preserve"> 2018</w:t>
      </w:r>
      <w:r w:rsidR="00513DFF">
        <w:rPr>
          <w:bCs/>
          <w:color w:val="000000"/>
          <w:sz w:val="22"/>
          <w:szCs w:val="22"/>
        </w:rPr>
        <w:t xml:space="preserve">, compared to </w:t>
      </w:r>
      <w:r w:rsidR="00324464">
        <w:rPr>
          <w:bCs/>
          <w:color w:val="000000"/>
          <w:sz w:val="22"/>
          <w:szCs w:val="22"/>
        </w:rPr>
        <w:t xml:space="preserve">net outflows of </w:t>
      </w:r>
      <w:r w:rsidR="00513DFF">
        <w:rPr>
          <w:bCs/>
          <w:color w:val="000000"/>
          <w:sz w:val="22"/>
          <w:szCs w:val="22"/>
        </w:rPr>
        <w:t xml:space="preserve">EUR </w:t>
      </w:r>
      <w:r w:rsidR="00324464">
        <w:rPr>
          <w:bCs/>
          <w:color w:val="000000"/>
          <w:sz w:val="22"/>
          <w:szCs w:val="22"/>
        </w:rPr>
        <w:t>6</w:t>
      </w:r>
      <w:r w:rsidR="00513DFF">
        <w:rPr>
          <w:bCs/>
          <w:color w:val="000000"/>
          <w:sz w:val="22"/>
          <w:szCs w:val="22"/>
        </w:rPr>
        <w:t xml:space="preserve"> billion in Q</w:t>
      </w:r>
      <w:r w:rsidR="00324464">
        <w:rPr>
          <w:bCs/>
          <w:color w:val="000000"/>
          <w:sz w:val="22"/>
          <w:szCs w:val="22"/>
        </w:rPr>
        <w:t>2</w:t>
      </w:r>
      <w:r w:rsidR="00513DFF">
        <w:rPr>
          <w:bCs/>
          <w:color w:val="000000"/>
          <w:sz w:val="22"/>
          <w:szCs w:val="22"/>
        </w:rPr>
        <w:t xml:space="preserve"> 2018. </w:t>
      </w:r>
      <w:r w:rsidRPr="004C7355">
        <w:rPr>
          <w:bCs/>
          <w:color w:val="000000"/>
          <w:sz w:val="22"/>
          <w:szCs w:val="22"/>
          <w:lang w:val="en-GB"/>
        </w:rPr>
        <w:t xml:space="preserve">Net sales of multi-asset funds totalled EUR </w:t>
      </w:r>
      <w:r w:rsidR="00324464">
        <w:rPr>
          <w:bCs/>
          <w:color w:val="000000"/>
          <w:sz w:val="22"/>
          <w:szCs w:val="22"/>
          <w:lang w:val="en-GB"/>
        </w:rPr>
        <w:t>20</w:t>
      </w:r>
      <w:r w:rsidRPr="004C7355">
        <w:rPr>
          <w:bCs/>
          <w:color w:val="000000"/>
          <w:sz w:val="22"/>
          <w:szCs w:val="22"/>
          <w:lang w:val="en-GB"/>
        </w:rPr>
        <w:t xml:space="preserve"> billion in Q3 201</w:t>
      </w:r>
      <w:r w:rsidR="00324464">
        <w:rPr>
          <w:bCs/>
          <w:color w:val="000000"/>
          <w:sz w:val="22"/>
          <w:szCs w:val="22"/>
          <w:lang w:val="en-GB"/>
        </w:rPr>
        <w:t>8</w:t>
      </w:r>
      <w:r w:rsidRPr="004C7355">
        <w:rPr>
          <w:bCs/>
          <w:color w:val="000000"/>
          <w:sz w:val="22"/>
          <w:szCs w:val="22"/>
          <w:lang w:val="en-GB"/>
        </w:rPr>
        <w:t xml:space="preserve">, down from EUR </w:t>
      </w:r>
      <w:r w:rsidR="00324464">
        <w:rPr>
          <w:bCs/>
          <w:color w:val="000000"/>
          <w:sz w:val="22"/>
          <w:szCs w:val="22"/>
          <w:lang w:val="en-GB"/>
        </w:rPr>
        <w:t xml:space="preserve">27 </w:t>
      </w:r>
      <w:r w:rsidRPr="004C7355">
        <w:rPr>
          <w:bCs/>
          <w:color w:val="000000"/>
          <w:sz w:val="22"/>
          <w:szCs w:val="22"/>
          <w:lang w:val="en-GB"/>
        </w:rPr>
        <w:t>billion in the previous quarter. Mone</w:t>
      </w:r>
      <w:r w:rsidR="00324464">
        <w:rPr>
          <w:bCs/>
          <w:color w:val="000000"/>
          <w:sz w:val="22"/>
          <w:szCs w:val="22"/>
          <w:lang w:val="en-GB"/>
        </w:rPr>
        <w:t>y market funds experienced net out</w:t>
      </w:r>
      <w:r w:rsidRPr="004C7355">
        <w:rPr>
          <w:bCs/>
          <w:color w:val="000000"/>
          <w:sz w:val="22"/>
          <w:szCs w:val="22"/>
          <w:lang w:val="en-GB"/>
        </w:rPr>
        <w:t xml:space="preserve">flows </w:t>
      </w:r>
      <w:r w:rsidR="00324464">
        <w:rPr>
          <w:bCs/>
          <w:color w:val="000000"/>
          <w:sz w:val="22"/>
          <w:szCs w:val="22"/>
          <w:lang w:val="en-GB"/>
        </w:rPr>
        <w:t xml:space="preserve">of </w:t>
      </w:r>
      <w:r w:rsidRPr="004C7355">
        <w:rPr>
          <w:bCs/>
          <w:color w:val="000000"/>
          <w:sz w:val="22"/>
          <w:szCs w:val="22"/>
          <w:lang w:val="en-GB"/>
        </w:rPr>
        <w:t xml:space="preserve">EUR </w:t>
      </w:r>
      <w:r w:rsidR="00324464">
        <w:rPr>
          <w:bCs/>
          <w:color w:val="000000"/>
          <w:sz w:val="22"/>
          <w:szCs w:val="22"/>
          <w:lang w:val="en-GB"/>
        </w:rPr>
        <w:t>14 billion, compared to</w:t>
      </w:r>
      <w:r w:rsidRPr="004C7355">
        <w:rPr>
          <w:bCs/>
          <w:color w:val="000000"/>
          <w:sz w:val="22"/>
          <w:szCs w:val="22"/>
          <w:lang w:val="en-GB"/>
        </w:rPr>
        <w:t xml:space="preserve"> </w:t>
      </w:r>
      <w:r w:rsidR="00861211">
        <w:rPr>
          <w:bCs/>
          <w:color w:val="000000"/>
          <w:sz w:val="22"/>
          <w:szCs w:val="22"/>
          <w:lang w:val="en-GB"/>
        </w:rPr>
        <w:t xml:space="preserve">net outflows of </w:t>
      </w:r>
      <w:r w:rsidRPr="004C7355">
        <w:rPr>
          <w:bCs/>
          <w:color w:val="000000"/>
          <w:sz w:val="22"/>
          <w:szCs w:val="22"/>
          <w:lang w:val="en-GB"/>
        </w:rPr>
        <w:t xml:space="preserve">EUR </w:t>
      </w:r>
      <w:r w:rsidR="00324464">
        <w:rPr>
          <w:bCs/>
          <w:color w:val="000000"/>
          <w:sz w:val="22"/>
          <w:szCs w:val="22"/>
          <w:lang w:val="en-GB"/>
        </w:rPr>
        <w:t>19</w:t>
      </w:r>
      <w:r w:rsidRPr="004C7355">
        <w:rPr>
          <w:bCs/>
          <w:color w:val="000000"/>
          <w:sz w:val="22"/>
          <w:szCs w:val="22"/>
          <w:lang w:val="en-GB"/>
        </w:rPr>
        <w:t xml:space="preserve"> billion in </w:t>
      </w:r>
      <w:r w:rsidR="00F1473E">
        <w:rPr>
          <w:bCs/>
          <w:color w:val="000000"/>
          <w:sz w:val="22"/>
          <w:szCs w:val="22"/>
          <w:lang w:val="en-GB"/>
        </w:rPr>
        <w:t>Q2</w:t>
      </w:r>
      <w:r w:rsidRPr="004C7355">
        <w:rPr>
          <w:bCs/>
          <w:color w:val="000000"/>
          <w:sz w:val="22"/>
          <w:szCs w:val="22"/>
          <w:lang w:val="en-GB"/>
        </w:rPr>
        <w:t xml:space="preserve"> 201</w:t>
      </w:r>
      <w:r w:rsidR="00324464">
        <w:rPr>
          <w:bCs/>
          <w:color w:val="000000"/>
          <w:sz w:val="22"/>
          <w:szCs w:val="22"/>
          <w:lang w:val="en-GB"/>
        </w:rPr>
        <w:t>8</w:t>
      </w:r>
      <w:r w:rsidRPr="004C7355">
        <w:rPr>
          <w:bCs/>
          <w:color w:val="000000"/>
          <w:sz w:val="22"/>
          <w:szCs w:val="22"/>
          <w:lang w:val="en-GB"/>
        </w:rPr>
        <w:t xml:space="preserve">. Net sales of other funds (including real estate, guaranteed/protected funds and other funds which do not fit any of the categories below or for which information is not available) totalled EUR </w:t>
      </w:r>
      <w:r w:rsidR="00324464">
        <w:rPr>
          <w:bCs/>
          <w:color w:val="000000"/>
          <w:sz w:val="22"/>
          <w:szCs w:val="22"/>
          <w:lang w:val="en-GB"/>
        </w:rPr>
        <w:t>2</w:t>
      </w:r>
      <w:r w:rsidR="00B26DA7">
        <w:rPr>
          <w:bCs/>
          <w:color w:val="000000"/>
          <w:sz w:val="22"/>
          <w:szCs w:val="22"/>
          <w:lang w:val="en-GB"/>
        </w:rPr>
        <w:t>7</w:t>
      </w:r>
      <w:r w:rsidRPr="004C7355">
        <w:rPr>
          <w:bCs/>
          <w:color w:val="000000"/>
          <w:sz w:val="22"/>
          <w:szCs w:val="22"/>
          <w:lang w:val="en-GB"/>
        </w:rPr>
        <w:t xml:space="preserve"> billion, </w:t>
      </w:r>
      <w:r w:rsidR="00324464">
        <w:rPr>
          <w:bCs/>
          <w:color w:val="000000"/>
          <w:sz w:val="22"/>
          <w:szCs w:val="22"/>
          <w:lang w:val="en-GB"/>
        </w:rPr>
        <w:t xml:space="preserve">slightly </w:t>
      </w:r>
      <w:r w:rsidRPr="004C7355">
        <w:rPr>
          <w:bCs/>
          <w:color w:val="000000"/>
          <w:sz w:val="22"/>
          <w:szCs w:val="22"/>
          <w:lang w:val="en-GB"/>
        </w:rPr>
        <w:t xml:space="preserve">lower than EUR </w:t>
      </w:r>
      <w:r w:rsidR="00324464">
        <w:rPr>
          <w:bCs/>
          <w:color w:val="000000"/>
          <w:sz w:val="22"/>
          <w:szCs w:val="22"/>
          <w:lang w:val="en-GB"/>
        </w:rPr>
        <w:t>28</w:t>
      </w:r>
      <w:r w:rsidRPr="004C7355">
        <w:rPr>
          <w:bCs/>
          <w:color w:val="000000"/>
          <w:sz w:val="22"/>
          <w:szCs w:val="22"/>
          <w:lang w:val="en-GB"/>
        </w:rPr>
        <w:t xml:space="preserve"> billion </w:t>
      </w:r>
      <w:r w:rsidR="00F1473E">
        <w:rPr>
          <w:bCs/>
          <w:color w:val="000000"/>
          <w:sz w:val="22"/>
          <w:szCs w:val="22"/>
          <w:lang w:val="en-GB"/>
        </w:rPr>
        <w:t>in Q2 2018</w:t>
      </w:r>
      <w:r w:rsidRPr="004C7355">
        <w:rPr>
          <w:bCs/>
          <w:color w:val="000000"/>
          <w:sz w:val="22"/>
          <w:szCs w:val="22"/>
          <w:lang w:val="en-GB"/>
        </w:rPr>
        <w:t>.</w:t>
      </w:r>
    </w:p>
    <w:p w14:paraId="5D83230C" w14:textId="5D1AEEE0" w:rsidR="00DE1F55" w:rsidRDefault="00DE1F5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14:paraId="0AE4710F" w14:textId="6792560D" w:rsidR="001142A5" w:rsidRPr="00C0196C" w:rsidRDefault="00513DFF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25824" behindDoc="0" locked="0" layoutInCell="1" allowOverlap="1" wp14:anchorId="6A38033C" wp14:editId="2847BB50">
            <wp:simplePos x="0" y="0"/>
            <wp:positionH relativeFrom="margin">
              <wp:posOffset>3173095</wp:posOffset>
            </wp:positionH>
            <wp:positionV relativeFrom="paragraph">
              <wp:posOffset>50165</wp:posOffset>
            </wp:positionV>
            <wp:extent cx="3433674" cy="2088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74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7EA"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7392" behindDoc="0" locked="0" layoutInCell="1" allowOverlap="1" wp14:anchorId="032C4BC8" wp14:editId="42E823E3">
            <wp:simplePos x="0" y="0"/>
            <wp:positionH relativeFrom="column">
              <wp:posOffset>-143510</wp:posOffset>
            </wp:positionH>
            <wp:positionV relativeFrom="paragraph">
              <wp:posOffset>53340</wp:posOffset>
            </wp:positionV>
            <wp:extent cx="3429635" cy="20878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1FCED" w14:textId="23B6CBBC" w:rsidR="001142A5" w:rsidRPr="00FD75CC" w:rsidRDefault="00271D92" w:rsidP="001142A5">
      <w:pPr>
        <w:pStyle w:val="Footer"/>
        <w:jc w:val="center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4256" behindDoc="0" locked="0" layoutInCell="1" allowOverlap="1" wp14:anchorId="44A396EA" wp14:editId="1A7FA4FD">
            <wp:simplePos x="0" y="0"/>
            <wp:positionH relativeFrom="column">
              <wp:posOffset>3209290</wp:posOffset>
            </wp:positionH>
            <wp:positionV relativeFrom="paragraph">
              <wp:posOffset>4371340</wp:posOffset>
            </wp:positionV>
            <wp:extent cx="3429635" cy="2087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3232" behindDoc="0" locked="0" layoutInCell="1" allowOverlap="1" wp14:anchorId="7AA7EF4D" wp14:editId="724886DA">
            <wp:simplePos x="0" y="0"/>
            <wp:positionH relativeFrom="column">
              <wp:posOffset>-105410</wp:posOffset>
            </wp:positionH>
            <wp:positionV relativeFrom="paragraph">
              <wp:posOffset>2171065</wp:posOffset>
            </wp:positionV>
            <wp:extent cx="3433445" cy="20878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4AD6"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29920" behindDoc="0" locked="0" layoutInCell="1" allowOverlap="1" wp14:anchorId="22FE72B0" wp14:editId="0028847F">
            <wp:simplePos x="0" y="0"/>
            <wp:positionH relativeFrom="column">
              <wp:posOffset>3190875</wp:posOffset>
            </wp:positionH>
            <wp:positionV relativeFrom="paragraph">
              <wp:posOffset>2199640</wp:posOffset>
            </wp:positionV>
            <wp:extent cx="3429778" cy="2088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78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7EA"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1488" behindDoc="0" locked="0" layoutInCell="1" allowOverlap="1" wp14:anchorId="467FD545" wp14:editId="36B29E53">
            <wp:simplePos x="0" y="0"/>
            <wp:positionH relativeFrom="column">
              <wp:posOffset>-191135</wp:posOffset>
            </wp:positionH>
            <wp:positionV relativeFrom="paragraph">
              <wp:posOffset>4384040</wp:posOffset>
            </wp:positionV>
            <wp:extent cx="3429778" cy="20880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778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2AE0FDF2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14:paraId="147AEB7B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799ACBF5" w14:textId="23AC9D5D" w:rsidR="00960108" w:rsidRPr="00D62403" w:rsidRDefault="00960108" w:rsidP="00960108">
      <w:pPr>
        <w:pStyle w:val="FootnoteText"/>
        <w:jc w:val="both"/>
        <w:rPr>
          <w:b/>
          <w:color w:val="0000FF"/>
          <w:sz w:val="22"/>
          <w:szCs w:val="22"/>
        </w:rPr>
      </w:pPr>
      <w:bookmarkStart w:id="1" w:name="OLE_LINK4"/>
      <w:bookmarkStart w:id="2" w:name="OLE_LINK5"/>
      <w:r>
        <w:rPr>
          <w:b/>
          <w:color w:val="0000FF"/>
          <w:sz w:val="22"/>
          <w:szCs w:val="22"/>
        </w:rPr>
        <w:t>Total net assets of Europea</w:t>
      </w:r>
      <w:r w:rsidR="000F6EE2">
        <w:rPr>
          <w:b/>
          <w:color w:val="0000FF"/>
          <w:sz w:val="22"/>
          <w:szCs w:val="22"/>
        </w:rPr>
        <w:t>n investment</w:t>
      </w:r>
      <w:r w:rsidR="003845E9">
        <w:rPr>
          <w:b/>
          <w:color w:val="0000FF"/>
          <w:sz w:val="22"/>
          <w:szCs w:val="22"/>
        </w:rPr>
        <w:t xml:space="preserve"> fund</w:t>
      </w:r>
      <w:r w:rsidR="000069C6">
        <w:rPr>
          <w:b/>
          <w:color w:val="0000FF"/>
          <w:sz w:val="22"/>
          <w:szCs w:val="22"/>
        </w:rPr>
        <w:t>s</w:t>
      </w:r>
      <w:r w:rsidR="000F6EE2">
        <w:rPr>
          <w:b/>
          <w:color w:val="0000FF"/>
          <w:sz w:val="22"/>
          <w:szCs w:val="22"/>
        </w:rPr>
        <w:t xml:space="preserve"> increased </w:t>
      </w:r>
      <w:r w:rsidR="00F22A7F">
        <w:rPr>
          <w:b/>
          <w:color w:val="0000FF"/>
          <w:sz w:val="22"/>
          <w:szCs w:val="22"/>
        </w:rPr>
        <w:t xml:space="preserve">by 1.2% in Q3 2018 to reach </w:t>
      </w:r>
      <w:r w:rsidR="000F6EE2">
        <w:rPr>
          <w:b/>
          <w:color w:val="0000FF"/>
          <w:sz w:val="22"/>
          <w:szCs w:val="22"/>
        </w:rPr>
        <w:t>EUR 16</w:t>
      </w:r>
      <w:r>
        <w:rPr>
          <w:b/>
          <w:color w:val="0000FF"/>
          <w:sz w:val="22"/>
          <w:szCs w:val="22"/>
        </w:rPr>
        <w:t>,</w:t>
      </w:r>
      <w:r w:rsidR="000F6EE2">
        <w:rPr>
          <w:b/>
          <w:color w:val="0000FF"/>
          <w:sz w:val="22"/>
          <w:szCs w:val="22"/>
        </w:rPr>
        <w:t>032</w:t>
      </w:r>
      <w:r>
        <w:rPr>
          <w:b/>
          <w:color w:val="0000FF"/>
          <w:sz w:val="22"/>
          <w:szCs w:val="22"/>
        </w:rPr>
        <w:t xml:space="preserve"> billion. </w:t>
      </w:r>
    </w:p>
    <w:bookmarkEnd w:id="1"/>
    <w:bookmarkEnd w:id="2"/>
    <w:p w14:paraId="428F7B87" w14:textId="77777777" w:rsidR="00960108" w:rsidRDefault="00960108" w:rsidP="00960108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1582B7E5" w14:textId="301DB794" w:rsidR="00960108" w:rsidRDefault="00960108" w:rsidP="00960108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With EUR 9,</w:t>
      </w:r>
      <w:r w:rsidR="000F6EE2">
        <w:rPr>
          <w:sz w:val="22"/>
          <w:szCs w:val="22"/>
        </w:rPr>
        <w:t>968</w:t>
      </w:r>
      <w:r w:rsidRPr="00654E5B">
        <w:rPr>
          <w:sz w:val="22"/>
          <w:szCs w:val="22"/>
        </w:rPr>
        <w:t xml:space="preserve"> billion invested in UCITS, this segmen</w:t>
      </w:r>
      <w:r>
        <w:rPr>
          <w:sz w:val="22"/>
          <w:szCs w:val="22"/>
        </w:rPr>
        <w:t xml:space="preserve">t accounted for </w:t>
      </w:r>
      <w:r w:rsidR="007A2688">
        <w:rPr>
          <w:sz w:val="22"/>
          <w:szCs w:val="22"/>
        </w:rPr>
        <w:t>62</w:t>
      </w:r>
      <w:r w:rsidR="000F6EE2">
        <w:rPr>
          <w:sz w:val="22"/>
          <w:szCs w:val="22"/>
        </w:rPr>
        <w:t>.2</w:t>
      </w:r>
      <w:r w:rsidR="007A2688">
        <w:rPr>
          <w:sz w:val="22"/>
          <w:szCs w:val="22"/>
        </w:rPr>
        <w:t xml:space="preserve"> </w:t>
      </w:r>
      <w:r>
        <w:rPr>
          <w:sz w:val="22"/>
          <w:szCs w:val="22"/>
        </w:rPr>
        <w:t>% of total</w:t>
      </w:r>
      <w:r w:rsidRPr="00654E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European investment </w:t>
      </w:r>
      <w:r w:rsidRPr="00654E5B">
        <w:rPr>
          <w:sz w:val="22"/>
          <w:szCs w:val="22"/>
        </w:rPr>
        <w:t>fund</w:t>
      </w:r>
      <w:r>
        <w:rPr>
          <w:sz w:val="22"/>
          <w:szCs w:val="22"/>
        </w:rPr>
        <w:t xml:space="preserve"> assets at end Q3 201</w:t>
      </w:r>
      <w:r w:rsidR="007C10AF">
        <w:rPr>
          <w:sz w:val="22"/>
          <w:szCs w:val="22"/>
        </w:rPr>
        <w:t>8</w:t>
      </w:r>
      <w:r w:rsidR="000069C6">
        <w:rPr>
          <w:sz w:val="22"/>
          <w:szCs w:val="22"/>
        </w:rPr>
        <w:t>;</w:t>
      </w:r>
      <w:r w:rsidR="007A2688">
        <w:rPr>
          <w:sz w:val="22"/>
          <w:szCs w:val="22"/>
        </w:rPr>
        <w:t xml:space="preserve"> with the remaining 3</w:t>
      </w:r>
      <w:r w:rsidR="000F6EE2">
        <w:rPr>
          <w:sz w:val="22"/>
          <w:szCs w:val="22"/>
        </w:rPr>
        <w:t>7.</w:t>
      </w:r>
      <w:r w:rsidR="007A2688">
        <w:rPr>
          <w:sz w:val="22"/>
          <w:szCs w:val="22"/>
        </w:rPr>
        <w:t xml:space="preserve">8 </w:t>
      </w:r>
      <w:r>
        <w:rPr>
          <w:sz w:val="22"/>
          <w:szCs w:val="22"/>
        </w:rPr>
        <w:t>% (</w:t>
      </w:r>
      <w:bookmarkStart w:id="3" w:name="_GoBack"/>
      <w:bookmarkEnd w:id="3"/>
      <w:r>
        <w:rPr>
          <w:sz w:val="22"/>
          <w:szCs w:val="22"/>
        </w:rPr>
        <w:t xml:space="preserve">EUR </w:t>
      </w:r>
      <w:r w:rsidR="007C10AF">
        <w:rPr>
          <w:sz w:val="22"/>
          <w:szCs w:val="22"/>
        </w:rPr>
        <w:t>6</w:t>
      </w:r>
      <w:r>
        <w:rPr>
          <w:sz w:val="22"/>
          <w:szCs w:val="22"/>
        </w:rPr>
        <w:t>,</w:t>
      </w:r>
      <w:r w:rsidR="007C10AF">
        <w:rPr>
          <w:sz w:val="22"/>
          <w:szCs w:val="22"/>
        </w:rPr>
        <w:t>06</w:t>
      </w:r>
      <w:r w:rsidR="007A2688">
        <w:rPr>
          <w:sz w:val="22"/>
          <w:szCs w:val="22"/>
        </w:rPr>
        <w:t>4</w:t>
      </w:r>
      <w:r>
        <w:rPr>
          <w:sz w:val="22"/>
          <w:szCs w:val="22"/>
        </w:rPr>
        <w:t xml:space="preserve"> billion) coming from AIF</w:t>
      </w:r>
      <w:r w:rsidR="009F475A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3C6A3EF3" w14:textId="1B99E2B4" w:rsidR="001142A5" w:rsidRDefault="00960108" w:rsidP="00960108">
      <w:pPr>
        <w:pStyle w:val="FootnoteText"/>
        <w:tabs>
          <w:tab w:val="left" w:pos="80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2FDCFBC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6E1748DE" w14:textId="7C566D1A" w:rsidR="001142A5" w:rsidRDefault="0047163B" w:rsidP="001142A5">
      <w:pPr>
        <w:pStyle w:val="FootnoteText"/>
        <w:tabs>
          <w:tab w:val="left" w:pos="360"/>
        </w:tabs>
        <w:jc w:val="center"/>
      </w:pPr>
      <w:r w:rsidRPr="0047163B">
        <w:rPr>
          <w:noProof/>
        </w:rPr>
        <w:drawing>
          <wp:anchor distT="0" distB="0" distL="114300" distR="114300" simplePos="0" relativeHeight="251759616" behindDoc="0" locked="0" layoutInCell="1" allowOverlap="1" wp14:anchorId="1AA470CA" wp14:editId="02F10BA7">
            <wp:simplePos x="0" y="0"/>
            <wp:positionH relativeFrom="column">
              <wp:posOffset>247015</wp:posOffset>
            </wp:positionH>
            <wp:positionV relativeFrom="paragraph">
              <wp:posOffset>2540</wp:posOffset>
            </wp:positionV>
            <wp:extent cx="5738400" cy="667741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0" cy="667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36A3B" w14:textId="3CDFCB03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311F1D65" w14:textId="77777777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Funds by Country of Domiciliation</w:t>
      </w:r>
    </w:p>
    <w:p w14:paraId="11B77BDE" w14:textId="77777777" w:rsidR="001142A5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</w:p>
    <w:p w14:paraId="25BFD882" w14:textId="7CAED516" w:rsidR="00960108" w:rsidRPr="00D62403" w:rsidRDefault="00960108" w:rsidP="00960108">
      <w:pPr>
        <w:pStyle w:val="FootnoteTex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In Q3 201</w:t>
      </w:r>
      <w:r w:rsidR="003C696B">
        <w:rPr>
          <w:b/>
          <w:color w:val="0000FF"/>
          <w:sz w:val="22"/>
          <w:szCs w:val="22"/>
        </w:rPr>
        <w:t>8</w:t>
      </w:r>
      <w:r>
        <w:rPr>
          <w:b/>
          <w:color w:val="0000FF"/>
          <w:sz w:val="22"/>
          <w:szCs w:val="22"/>
        </w:rPr>
        <w:t>, t</w:t>
      </w:r>
      <w:r w:rsidRPr="00654E5B">
        <w:rPr>
          <w:b/>
          <w:color w:val="0000FF"/>
          <w:sz w:val="22"/>
          <w:szCs w:val="22"/>
        </w:rPr>
        <w:t xml:space="preserve">he </w:t>
      </w:r>
      <w:r>
        <w:rPr>
          <w:b/>
          <w:color w:val="0000FF"/>
          <w:sz w:val="22"/>
          <w:szCs w:val="22"/>
        </w:rPr>
        <w:t xml:space="preserve">total number of UCITS and </w:t>
      </w:r>
      <w:r w:rsidR="000069C6" w:rsidRPr="000069C6">
        <w:rPr>
          <w:b/>
          <w:color w:val="0000FF"/>
          <w:sz w:val="22"/>
          <w:szCs w:val="22"/>
        </w:rPr>
        <w:t>Alternative Investment Funds</w:t>
      </w:r>
      <w:r w:rsidR="000069C6">
        <w:rPr>
          <w:b/>
          <w:color w:val="0000FF"/>
          <w:sz w:val="22"/>
          <w:szCs w:val="22"/>
        </w:rPr>
        <w:t xml:space="preserve"> (</w:t>
      </w:r>
      <w:r>
        <w:rPr>
          <w:b/>
          <w:color w:val="0000FF"/>
          <w:sz w:val="22"/>
          <w:szCs w:val="22"/>
        </w:rPr>
        <w:t>AIF</w:t>
      </w:r>
      <w:r w:rsidR="000069C6">
        <w:rPr>
          <w:b/>
          <w:color w:val="0000FF"/>
          <w:sz w:val="22"/>
          <w:szCs w:val="22"/>
        </w:rPr>
        <w:t>s)</w:t>
      </w:r>
      <w:r>
        <w:rPr>
          <w:b/>
          <w:color w:val="0000FF"/>
          <w:sz w:val="22"/>
          <w:szCs w:val="22"/>
        </w:rPr>
        <w:t xml:space="preserve"> </w:t>
      </w:r>
      <w:r w:rsidR="005D19D6">
        <w:rPr>
          <w:b/>
          <w:color w:val="0000FF"/>
          <w:sz w:val="22"/>
          <w:szCs w:val="22"/>
        </w:rPr>
        <w:t>in</w:t>
      </w:r>
      <w:r>
        <w:rPr>
          <w:b/>
          <w:color w:val="0000FF"/>
          <w:sz w:val="22"/>
          <w:szCs w:val="22"/>
        </w:rPr>
        <w:t xml:space="preserve">creased by </w:t>
      </w:r>
      <w:r w:rsidR="005D19D6">
        <w:rPr>
          <w:b/>
          <w:color w:val="0000FF"/>
          <w:sz w:val="22"/>
          <w:szCs w:val="22"/>
        </w:rPr>
        <w:t>0.</w:t>
      </w:r>
      <w:r w:rsidR="007A2688">
        <w:rPr>
          <w:b/>
          <w:color w:val="0000FF"/>
          <w:sz w:val="22"/>
          <w:szCs w:val="22"/>
        </w:rPr>
        <w:t>6</w:t>
      </w:r>
      <w:r>
        <w:rPr>
          <w:b/>
          <w:color w:val="0000FF"/>
          <w:sz w:val="22"/>
          <w:szCs w:val="22"/>
        </w:rPr>
        <w:t xml:space="preserve">% to </w:t>
      </w:r>
      <w:r w:rsidR="00B24AF1">
        <w:rPr>
          <w:b/>
          <w:color w:val="0000FF"/>
          <w:sz w:val="22"/>
          <w:szCs w:val="22"/>
        </w:rPr>
        <w:t>6</w:t>
      </w:r>
      <w:r w:rsidR="005D19D6">
        <w:rPr>
          <w:b/>
          <w:color w:val="0000FF"/>
          <w:sz w:val="22"/>
          <w:szCs w:val="22"/>
        </w:rPr>
        <w:t>1</w:t>
      </w:r>
      <w:r w:rsidR="00B24AF1">
        <w:rPr>
          <w:b/>
          <w:color w:val="0000FF"/>
          <w:sz w:val="22"/>
          <w:szCs w:val="22"/>
        </w:rPr>
        <w:t>,</w:t>
      </w:r>
      <w:r w:rsidR="007A2688">
        <w:rPr>
          <w:b/>
          <w:color w:val="0000FF"/>
          <w:sz w:val="22"/>
          <w:szCs w:val="22"/>
        </w:rPr>
        <w:t>568</w:t>
      </w:r>
      <w:r>
        <w:rPr>
          <w:b/>
          <w:color w:val="0000FF"/>
          <w:sz w:val="22"/>
          <w:szCs w:val="22"/>
        </w:rPr>
        <w:t>.</w:t>
      </w:r>
    </w:p>
    <w:p w14:paraId="4BE1BF47" w14:textId="77777777" w:rsidR="00960108" w:rsidRDefault="00960108" w:rsidP="00960108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2E73EEA5" w14:textId="10B17738" w:rsidR="00960108" w:rsidRDefault="00960108" w:rsidP="00960108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At the end of the third quarter of 201</w:t>
      </w:r>
      <w:r w:rsidR="00B24AF1">
        <w:rPr>
          <w:sz w:val="22"/>
          <w:szCs w:val="22"/>
        </w:rPr>
        <w:t>8</w:t>
      </w:r>
      <w:r>
        <w:rPr>
          <w:sz w:val="22"/>
          <w:szCs w:val="22"/>
        </w:rPr>
        <w:t xml:space="preserve">, UCITS accounted for </w:t>
      </w:r>
      <w:r w:rsidR="00B24AF1">
        <w:rPr>
          <w:sz w:val="22"/>
          <w:szCs w:val="22"/>
        </w:rPr>
        <w:t>32,</w:t>
      </w:r>
      <w:r w:rsidR="007A2688">
        <w:rPr>
          <w:sz w:val="22"/>
          <w:szCs w:val="22"/>
        </w:rPr>
        <w:t>987</w:t>
      </w:r>
      <w:r w:rsidR="00B24A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funds or </w:t>
      </w:r>
      <w:r w:rsidR="00B24AF1">
        <w:rPr>
          <w:sz w:val="22"/>
          <w:szCs w:val="22"/>
        </w:rPr>
        <w:t>53.</w:t>
      </w:r>
      <w:r w:rsidR="007A2688">
        <w:rPr>
          <w:sz w:val="22"/>
          <w:szCs w:val="22"/>
        </w:rPr>
        <w:t>6</w:t>
      </w:r>
      <w:r>
        <w:rPr>
          <w:sz w:val="22"/>
          <w:szCs w:val="22"/>
        </w:rPr>
        <w:t>% of the European investment fund market, while AIF</w:t>
      </w:r>
      <w:r w:rsidR="009F475A">
        <w:rPr>
          <w:sz w:val="22"/>
          <w:szCs w:val="22"/>
        </w:rPr>
        <w:t>s</w:t>
      </w:r>
      <w:r>
        <w:rPr>
          <w:sz w:val="22"/>
          <w:szCs w:val="22"/>
        </w:rPr>
        <w:t xml:space="preserve"> accounted for 28,</w:t>
      </w:r>
      <w:r w:rsidR="005D19D6">
        <w:rPr>
          <w:sz w:val="22"/>
          <w:szCs w:val="22"/>
        </w:rPr>
        <w:t>5</w:t>
      </w:r>
      <w:r w:rsidR="007A2688">
        <w:rPr>
          <w:sz w:val="22"/>
          <w:szCs w:val="22"/>
        </w:rPr>
        <w:t>81</w:t>
      </w:r>
      <w:r w:rsidR="00B24A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funds, or </w:t>
      </w:r>
      <w:r w:rsidR="00B24AF1">
        <w:rPr>
          <w:sz w:val="22"/>
          <w:szCs w:val="22"/>
        </w:rPr>
        <w:t>46.</w:t>
      </w:r>
      <w:r w:rsidR="007A2688">
        <w:rPr>
          <w:sz w:val="22"/>
          <w:szCs w:val="22"/>
        </w:rPr>
        <w:t>4</w:t>
      </w:r>
      <w:r>
        <w:rPr>
          <w:sz w:val="22"/>
          <w:szCs w:val="22"/>
        </w:rPr>
        <w:t>% of the market.</w:t>
      </w:r>
    </w:p>
    <w:p w14:paraId="4BD58434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593D9CD9" w14:textId="77777777" w:rsidR="001142A5" w:rsidRDefault="001142A5" w:rsidP="001142A5">
      <w:pPr>
        <w:pStyle w:val="FootnoteText"/>
        <w:tabs>
          <w:tab w:val="left" w:pos="360"/>
        </w:tabs>
        <w:jc w:val="center"/>
      </w:pPr>
    </w:p>
    <w:p w14:paraId="2BB7287E" w14:textId="25832B40" w:rsidR="001142A5" w:rsidRDefault="001142A5" w:rsidP="001142A5">
      <w:pPr>
        <w:pStyle w:val="FootnoteText"/>
        <w:tabs>
          <w:tab w:val="left" w:pos="360"/>
        </w:tabs>
        <w:jc w:val="center"/>
      </w:pPr>
    </w:p>
    <w:p w14:paraId="2C9946B0" w14:textId="33C5D35D" w:rsidR="001142A5" w:rsidRDefault="00A84EA0" w:rsidP="001142A5">
      <w:pPr>
        <w:pStyle w:val="FootnoteText"/>
        <w:tabs>
          <w:tab w:val="left" w:pos="360"/>
        </w:tabs>
        <w:jc w:val="center"/>
      </w:pPr>
      <w:r w:rsidRPr="00A84EA0">
        <w:rPr>
          <w:noProof/>
        </w:rPr>
        <w:drawing>
          <wp:anchor distT="0" distB="0" distL="114300" distR="114300" simplePos="0" relativeHeight="251754496" behindDoc="0" locked="0" layoutInCell="1" allowOverlap="1" wp14:anchorId="4F42A8E6" wp14:editId="758A375B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857875" cy="6248400"/>
            <wp:effectExtent l="0" t="0" r="952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98A68" w14:textId="1AA7D5E8" w:rsidR="001665DF" w:rsidRDefault="001665DF" w:rsidP="00AD3D5F">
      <w:pPr>
        <w:pStyle w:val="FootnoteText"/>
        <w:tabs>
          <w:tab w:val="left" w:pos="360"/>
        </w:tabs>
        <w:jc w:val="center"/>
      </w:pPr>
    </w:p>
    <w:sectPr w:rsidR="001665DF">
      <w:headerReference w:type="default" r:id="rId39"/>
      <w:footerReference w:type="default" r:id="rId40"/>
      <w:pgSz w:w="11906" w:h="16838" w:code="9"/>
      <w:pgMar w:top="794" w:right="1021" w:bottom="1134" w:left="102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2FA01" w14:textId="77777777" w:rsidR="003C696B" w:rsidRDefault="003C696B">
      <w:r>
        <w:separator/>
      </w:r>
    </w:p>
  </w:endnote>
  <w:endnote w:type="continuationSeparator" w:id="0">
    <w:p w14:paraId="405E7BC6" w14:textId="77777777" w:rsidR="003C696B" w:rsidRDefault="003C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B5FE" w14:textId="0917E690" w:rsidR="003C696B" w:rsidRDefault="003C696B" w:rsidP="00E009CD">
    <w:pPr>
      <w:pStyle w:val="Footer"/>
      <w:tabs>
        <w:tab w:val="left" w:pos="9270"/>
      </w:tabs>
      <w:ind w:right="360"/>
      <w:jc w:val="right"/>
      <w:rPr>
        <w:i/>
        <w:iCs/>
      </w:rPr>
    </w:pPr>
    <w:r>
      <w:rPr>
        <w:i/>
        <w:iCs/>
      </w:rPr>
      <w:t>EFAMA Quarterly Statistical Release N°75 (Third quarter of 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71AC3" w14:textId="77777777" w:rsidR="003C696B" w:rsidRDefault="003C696B">
      <w:r>
        <w:separator/>
      </w:r>
    </w:p>
  </w:footnote>
  <w:footnote w:type="continuationSeparator" w:id="0">
    <w:p w14:paraId="3FE60771" w14:textId="77777777" w:rsidR="003C696B" w:rsidRDefault="003C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955C" w14:textId="77777777" w:rsidR="003C696B" w:rsidRDefault="003C696B">
    <w:pPr>
      <w:pStyle w:val="Head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F22A7F">
      <w:rPr>
        <w:rStyle w:val="PageNumber"/>
        <w:noProof/>
        <w:sz w:val="20"/>
        <w:szCs w:val="20"/>
      </w:rPr>
      <w:t>14</w:t>
    </w:r>
    <w:r>
      <w:rPr>
        <w:rStyle w:val="PageNumber"/>
        <w:sz w:val="20"/>
        <w:szCs w:val="20"/>
      </w:rPr>
      <w:fldChar w:fldCharType="end"/>
    </w:r>
  </w:p>
  <w:p w14:paraId="2555DEA3" w14:textId="77777777" w:rsidR="003C696B" w:rsidRDefault="003C696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409"/>
    <w:multiLevelType w:val="hybridMultilevel"/>
    <w:tmpl w:val="8B0498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C0CEB"/>
    <w:multiLevelType w:val="hybridMultilevel"/>
    <w:tmpl w:val="E6BA0C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CD0"/>
    <w:multiLevelType w:val="hybridMultilevel"/>
    <w:tmpl w:val="ECB0AA64"/>
    <w:lvl w:ilvl="0" w:tplc="16A40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C17"/>
    <w:multiLevelType w:val="hybridMultilevel"/>
    <w:tmpl w:val="D528DBB2"/>
    <w:lvl w:ilvl="0" w:tplc="8D7C5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B58"/>
    <w:multiLevelType w:val="hybridMultilevel"/>
    <w:tmpl w:val="B4F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FCD"/>
    <w:multiLevelType w:val="hybridMultilevel"/>
    <w:tmpl w:val="552E4D6C"/>
    <w:lvl w:ilvl="0" w:tplc="8CDC3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50B"/>
    <w:multiLevelType w:val="hybridMultilevel"/>
    <w:tmpl w:val="E38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76C5"/>
    <w:multiLevelType w:val="hybridMultilevel"/>
    <w:tmpl w:val="5F9687AA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7D3"/>
    <w:multiLevelType w:val="hybridMultilevel"/>
    <w:tmpl w:val="25769C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951C9"/>
    <w:multiLevelType w:val="hybridMultilevel"/>
    <w:tmpl w:val="B9F68B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60A07"/>
    <w:multiLevelType w:val="hybridMultilevel"/>
    <w:tmpl w:val="CA6E74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E7362"/>
    <w:multiLevelType w:val="hybridMultilevel"/>
    <w:tmpl w:val="AD0A06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75585"/>
    <w:multiLevelType w:val="hybridMultilevel"/>
    <w:tmpl w:val="337A3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723AC"/>
    <w:multiLevelType w:val="hybridMultilevel"/>
    <w:tmpl w:val="57C8FA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4F11"/>
    <w:multiLevelType w:val="hybridMultilevel"/>
    <w:tmpl w:val="11BA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493C"/>
    <w:multiLevelType w:val="hybridMultilevel"/>
    <w:tmpl w:val="A56E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3055D"/>
    <w:multiLevelType w:val="hybridMultilevel"/>
    <w:tmpl w:val="31340A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9099C"/>
    <w:multiLevelType w:val="hybridMultilevel"/>
    <w:tmpl w:val="50D8E044"/>
    <w:lvl w:ilvl="0" w:tplc="F818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BC6"/>
    <w:multiLevelType w:val="hybridMultilevel"/>
    <w:tmpl w:val="A6C6A15E"/>
    <w:lvl w:ilvl="0" w:tplc="AEE4F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6081"/>
    <w:multiLevelType w:val="hybridMultilevel"/>
    <w:tmpl w:val="F36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E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1A1"/>
    <w:multiLevelType w:val="hybridMultilevel"/>
    <w:tmpl w:val="6F9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36C01"/>
    <w:multiLevelType w:val="hybridMultilevel"/>
    <w:tmpl w:val="63B829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161019"/>
    <w:multiLevelType w:val="hybridMultilevel"/>
    <w:tmpl w:val="D604E262"/>
    <w:lvl w:ilvl="0" w:tplc="342AA9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CE04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D86"/>
    <w:multiLevelType w:val="hybridMultilevel"/>
    <w:tmpl w:val="6ACEE474"/>
    <w:lvl w:ilvl="0" w:tplc="C4CC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7949"/>
    <w:multiLevelType w:val="hybridMultilevel"/>
    <w:tmpl w:val="EAB4B702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6E15"/>
    <w:multiLevelType w:val="hybridMultilevel"/>
    <w:tmpl w:val="7FD478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D205A"/>
    <w:multiLevelType w:val="hybridMultilevel"/>
    <w:tmpl w:val="0E0AFF06"/>
    <w:lvl w:ilvl="0" w:tplc="DA823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B15"/>
    <w:multiLevelType w:val="hybridMultilevel"/>
    <w:tmpl w:val="5BBA5F78"/>
    <w:lvl w:ilvl="0" w:tplc="1E4A7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A64B90"/>
    <w:multiLevelType w:val="hybridMultilevel"/>
    <w:tmpl w:val="12C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E5079"/>
    <w:multiLevelType w:val="multilevel"/>
    <w:tmpl w:val="4BD80D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33F1B"/>
    <w:multiLevelType w:val="hybridMultilevel"/>
    <w:tmpl w:val="6FD6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55440"/>
    <w:multiLevelType w:val="hybridMultilevel"/>
    <w:tmpl w:val="C1103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C8F"/>
    <w:multiLevelType w:val="hybridMultilevel"/>
    <w:tmpl w:val="B27E41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C5CF4"/>
    <w:multiLevelType w:val="hybridMultilevel"/>
    <w:tmpl w:val="6F208198"/>
    <w:lvl w:ilvl="0" w:tplc="981CF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1FB"/>
    <w:multiLevelType w:val="hybridMultilevel"/>
    <w:tmpl w:val="747E9984"/>
    <w:lvl w:ilvl="0" w:tplc="2E92DC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47848"/>
    <w:multiLevelType w:val="hybridMultilevel"/>
    <w:tmpl w:val="956CFC4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19F5"/>
    <w:multiLevelType w:val="hybridMultilevel"/>
    <w:tmpl w:val="7908B7DE"/>
    <w:lvl w:ilvl="0" w:tplc="C18A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239A"/>
    <w:multiLevelType w:val="hybridMultilevel"/>
    <w:tmpl w:val="4CD4E80A"/>
    <w:lvl w:ilvl="0" w:tplc="E1D8C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5"/>
  </w:num>
  <w:num w:numId="5">
    <w:abstractNumId w:val="21"/>
  </w:num>
  <w:num w:numId="6">
    <w:abstractNumId w:val="8"/>
  </w:num>
  <w:num w:numId="7">
    <w:abstractNumId w:val="24"/>
  </w:num>
  <w:num w:numId="8">
    <w:abstractNumId w:val="7"/>
  </w:num>
  <w:num w:numId="9">
    <w:abstractNumId w:val="22"/>
  </w:num>
  <w:num w:numId="10">
    <w:abstractNumId w:val="31"/>
  </w:num>
  <w:num w:numId="11">
    <w:abstractNumId w:val="32"/>
  </w:num>
  <w:num w:numId="12">
    <w:abstractNumId w:val="29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</w:num>
  <w:num w:numId="20">
    <w:abstractNumId w:val="2"/>
  </w:num>
  <w:num w:numId="21">
    <w:abstractNumId w:val="34"/>
  </w:num>
  <w:num w:numId="22">
    <w:abstractNumId w:val="5"/>
  </w:num>
  <w:num w:numId="23">
    <w:abstractNumId w:val="26"/>
  </w:num>
  <w:num w:numId="24">
    <w:abstractNumId w:val="3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23"/>
  </w:num>
  <w:num w:numId="29">
    <w:abstractNumId w:val="19"/>
  </w:num>
  <w:num w:numId="30">
    <w:abstractNumId w:val="13"/>
  </w:num>
  <w:num w:numId="31">
    <w:abstractNumId w:val="14"/>
  </w:num>
  <w:num w:numId="32">
    <w:abstractNumId w:val="35"/>
  </w:num>
  <w:num w:numId="33">
    <w:abstractNumId w:val="27"/>
  </w:num>
  <w:num w:numId="34">
    <w:abstractNumId w:val="37"/>
  </w:num>
  <w:num w:numId="35">
    <w:abstractNumId w:val="4"/>
  </w:num>
  <w:num w:numId="36">
    <w:abstractNumId w:val="15"/>
  </w:num>
  <w:num w:numId="37">
    <w:abstractNumId w:val="6"/>
  </w:num>
  <w:num w:numId="38">
    <w:abstractNumId w:val="30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3"/>
    <w:rsid w:val="00000909"/>
    <w:rsid w:val="00000E96"/>
    <w:rsid w:val="000021E2"/>
    <w:rsid w:val="00002C7A"/>
    <w:rsid w:val="00004578"/>
    <w:rsid w:val="0000557D"/>
    <w:rsid w:val="0000603C"/>
    <w:rsid w:val="000069C6"/>
    <w:rsid w:val="000072E8"/>
    <w:rsid w:val="00007955"/>
    <w:rsid w:val="00011437"/>
    <w:rsid w:val="00013347"/>
    <w:rsid w:val="00013601"/>
    <w:rsid w:val="000143F1"/>
    <w:rsid w:val="00015029"/>
    <w:rsid w:val="000156F4"/>
    <w:rsid w:val="00015A9A"/>
    <w:rsid w:val="00016869"/>
    <w:rsid w:val="0001687B"/>
    <w:rsid w:val="0001732B"/>
    <w:rsid w:val="00017503"/>
    <w:rsid w:val="00017E43"/>
    <w:rsid w:val="00017F66"/>
    <w:rsid w:val="00020BB4"/>
    <w:rsid w:val="000240E8"/>
    <w:rsid w:val="000241F0"/>
    <w:rsid w:val="00024985"/>
    <w:rsid w:val="000251D7"/>
    <w:rsid w:val="0002568C"/>
    <w:rsid w:val="0002641C"/>
    <w:rsid w:val="000271CE"/>
    <w:rsid w:val="000277C2"/>
    <w:rsid w:val="00027DAD"/>
    <w:rsid w:val="00030D63"/>
    <w:rsid w:val="00031C6F"/>
    <w:rsid w:val="00033C5A"/>
    <w:rsid w:val="00033F37"/>
    <w:rsid w:val="000345E8"/>
    <w:rsid w:val="000347A3"/>
    <w:rsid w:val="00034F2C"/>
    <w:rsid w:val="00035267"/>
    <w:rsid w:val="000357D0"/>
    <w:rsid w:val="00036843"/>
    <w:rsid w:val="00037E90"/>
    <w:rsid w:val="00037F73"/>
    <w:rsid w:val="00040297"/>
    <w:rsid w:val="000409C1"/>
    <w:rsid w:val="00040D1C"/>
    <w:rsid w:val="00040E7E"/>
    <w:rsid w:val="0004187C"/>
    <w:rsid w:val="000423E1"/>
    <w:rsid w:val="000438E1"/>
    <w:rsid w:val="00044211"/>
    <w:rsid w:val="00044B87"/>
    <w:rsid w:val="00045D50"/>
    <w:rsid w:val="00045ED9"/>
    <w:rsid w:val="000463D0"/>
    <w:rsid w:val="00047145"/>
    <w:rsid w:val="00047D53"/>
    <w:rsid w:val="00047F76"/>
    <w:rsid w:val="00053322"/>
    <w:rsid w:val="00053AD6"/>
    <w:rsid w:val="00054657"/>
    <w:rsid w:val="00054D60"/>
    <w:rsid w:val="00055E3C"/>
    <w:rsid w:val="00056626"/>
    <w:rsid w:val="00056A30"/>
    <w:rsid w:val="00061A1C"/>
    <w:rsid w:val="00061C27"/>
    <w:rsid w:val="000628E9"/>
    <w:rsid w:val="0006310F"/>
    <w:rsid w:val="00063CCB"/>
    <w:rsid w:val="00064214"/>
    <w:rsid w:val="000647B0"/>
    <w:rsid w:val="000653F2"/>
    <w:rsid w:val="00066F76"/>
    <w:rsid w:val="00067DE3"/>
    <w:rsid w:val="00070171"/>
    <w:rsid w:val="00070B33"/>
    <w:rsid w:val="000714A9"/>
    <w:rsid w:val="00071E2E"/>
    <w:rsid w:val="00072669"/>
    <w:rsid w:val="00073987"/>
    <w:rsid w:val="000744BE"/>
    <w:rsid w:val="000775A7"/>
    <w:rsid w:val="00077778"/>
    <w:rsid w:val="000779E5"/>
    <w:rsid w:val="00080D20"/>
    <w:rsid w:val="00081071"/>
    <w:rsid w:val="000817B9"/>
    <w:rsid w:val="00081B3F"/>
    <w:rsid w:val="0008254F"/>
    <w:rsid w:val="00082BB1"/>
    <w:rsid w:val="00083A2E"/>
    <w:rsid w:val="000843DD"/>
    <w:rsid w:val="000851B3"/>
    <w:rsid w:val="000864D3"/>
    <w:rsid w:val="00086B6E"/>
    <w:rsid w:val="00087ABD"/>
    <w:rsid w:val="00087D87"/>
    <w:rsid w:val="00090134"/>
    <w:rsid w:val="000902A4"/>
    <w:rsid w:val="00091523"/>
    <w:rsid w:val="00091E3D"/>
    <w:rsid w:val="0009516D"/>
    <w:rsid w:val="00095564"/>
    <w:rsid w:val="00097037"/>
    <w:rsid w:val="00097964"/>
    <w:rsid w:val="000A0790"/>
    <w:rsid w:val="000A0BC0"/>
    <w:rsid w:val="000A2D59"/>
    <w:rsid w:val="000A3084"/>
    <w:rsid w:val="000A3923"/>
    <w:rsid w:val="000A3B29"/>
    <w:rsid w:val="000A77C2"/>
    <w:rsid w:val="000B03BD"/>
    <w:rsid w:val="000B0564"/>
    <w:rsid w:val="000B0B3D"/>
    <w:rsid w:val="000B378A"/>
    <w:rsid w:val="000B3DB4"/>
    <w:rsid w:val="000B466E"/>
    <w:rsid w:val="000B4822"/>
    <w:rsid w:val="000B4EDD"/>
    <w:rsid w:val="000B5BBC"/>
    <w:rsid w:val="000B5BF1"/>
    <w:rsid w:val="000B6767"/>
    <w:rsid w:val="000B6BE1"/>
    <w:rsid w:val="000B7C55"/>
    <w:rsid w:val="000C2946"/>
    <w:rsid w:val="000C2E9E"/>
    <w:rsid w:val="000C345C"/>
    <w:rsid w:val="000C394B"/>
    <w:rsid w:val="000C3AB6"/>
    <w:rsid w:val="000C5134"/>
    <w:rsid w:val="000C522E"/>
    <w:rsid w:val="000C561E"/>
    <w:rsid w:val="000C6D7A"/>
    <w:rsid w:val="000D143A"/>
    <w:rsid w:val="000D1521"/>
    <w:rsid w:val="000D1C75"/>
    <w:rsid w:val="000D2397"/>
    <w:rsid w:val="000D2C47"/>
    <w:rsid w:val="000D2E16"/>
    <w:rsid w:val="000D2F8E"/>
    <w:rsid w:val="000D3D28"/>
    <w:rsid w:val="000D4CD9"/>
    <w:rsid w:val="000D50FA"/>
    <w:rsid w:val="000D639B"/>
    <w:rsid w:val="000D7292"/>
    <w:rsid w:val="000E06BA"/>
    <w:rsid w:val="000E08F1"/>
    <w:rsid w:val="000E3420"/>
    <w:rsid w:val="000E3C2A"/>
    <w:rsid w:val="000E4B97"/>
    <w:rsid w:val="000E57EA"/>
    <w:rsid w:val="000E5FCE"/>
    <w:rsid w:val="000E6434"/>
    <w:rsid w:val="000E774C"/>
    <w:rsid w:val="000E7B92"/>
    <w:rsid w:val="000E7DB4"/>
    <w:rsid w:val="000F0315"/>
    <w:rsid w:val="000F0527"/>
    <w:rsid w:val="000F0993"/>
    <w:rsid w:val="000F1A5C"/>
    <w:rsid w:val="000F35B3"/>
    <w:rsid w:val="000F35E3"/>
    <w:rsid w:val="000F40D8"/>
    <w:rsid w:val="000F4E8E"/>
    <w:rsid w:val="000F4E95"/>
    <w:rsid w:val="000F5251"/>
    <w:rsid w:val="000F54F4"/>
    <w:rsid w:val="000F5E1F"/>
    <w:rsid w:val="000F6EE2"/>
    <w:rsid w:val="000F708B"/>
    <w:rsid w:val="000F7184"/>
    <w:rsid w:val="000F724B"/>
    <w:rsid w:val="00100B9A"/>
    <w:rsid w:val="00101721"/>
    <w:rsid w:val="001046B5"/>
    <w:rsid w:val="00104F7D"/>
    <w:rsid w:val="00105999"/>
    <w:rsid w:val="00105FAB"/>
    <w:rsid w:val="00106448"/>
    <w:rsid w:val="0010683D"/>
    <w:rsid w:val="00106851"/>
    <w:rsid w:val="001076C3"/>
    <w:rsid w:val="00110791"/>
    <w:rsid w:val="001142A5"/>
    <w:rsid w:val="00114B2D"/>
    <w:rsid w:val="001161C9"/>
    <w:rsid w:val="00117719"/>
    <w:rsid w:val="0011779D"/>
    <w:rsid w:val="0012009C"/>
    <w:rsid w:val="001209A0"/>
    <w:rsid w:val="001213C2"/>
    <w:rsid w:val="001222DB"/>
    <w:rsid w:val="00122B81"/>
    <w:rsid w:val="00122D19"/>
    <w:rsid w:val="00122D70"/>
    <w:rsid w:val="0012416B"/>
    <w:rsid w:val="001253E0"/>
    <w:rsid w:val="00125F61"/>
    <w:rsid w:val="00126074"/>
    <w:rsid w:val="00127649"/>
    <w:rsid w:val="001300AD"/>
    <w:rsid w:val="00130439"/>
    <w:rsid w:val="00130C4A"/>
    <w:rsid w:val="00130E9F"/>
    <w:rsid w:val="0013191A"/>
    <w:rsid w:val="00131AFA"/>
    <w:rsid w:val="00132EDE"/>
    <w:rsid w:val="00135F0F"/>
    <w:rsid w:val="001365CE"/>
    <w:rsid w:val="001402F6"/>
    <w:rsid w:val="001408F3"/>
    <w:rsid w:val="001412B9"/>
    <w:rsid w:val="001419CC"/>
    <w:rsid w:val="00142022"/>
    <w:rsid w:val="001422B2"/>
    <w:rsid w:val="001423AB"/>
    <w:rsid w:val="00142E95"/>
    <w:rsid w:val="001431E2"/>
    <w:rsid w:val="001434FB"/>
    <w:rsid w:val="001439C2"/>
    <w:rsid w:val="00143A3C"/>
    <w:rsid w:val="001441C6"/>
    <w:rsid w:val="001448D2"/>
    <w:rsid w:val="00145773"/>
    <w:rsid w:val="00145C9F"/>
    <w:rsid w:val="00145FCF"/>
    <w:rsid w:val="00146147"/>
    <w:rsid w:val="001462CD"/>
    <w:rsid w:val="0015022B"/>
    <w:rsid w:val="0015029A"/>
    <w:rsid w:val="0015053F"/>
    <w:rsid w:val="001523DA"/>
    <w:rsid w:val="00152932"/>
    <w:rsid w:val="00152993"/>
    <w:rsid w:val="00153588"/>
    <w:rsid w:val="0015494B"/>
    <w:rsid w:val="0015542F"/>
    <w:rsid w:val="00156178"/>
    <w:rsid w:val="00157CEC"/>
    <w:rsid w:val="00160B5C"/>
    <w:rsid w:val="001613E1"/>
    <w:rsid w:val="00161CCC"/>
    <w:rsid w:val="00162BDB"/>
    <w:rsid w:val="00162E35"/>
    <w:rsid w:val="0016361F"/>
    <w:rsid w:val="00164941"/>
    <w:rsid w:val="00166286"/>
    <w:rsid w:val="001665DF"/>
    <w:rsid w:val="00170350"/>
    <w:rsid w:val="001707EB"/>
    <w:rsid w:val="0017146B"/>
    <w:rsid w:val="00171BB7"/>
    <w:rsid w:val="00171DDB"/>
    <w:rsid w:val="00172819"/>
    <w:rsid w:val="0017435B"/>
    <w:rsid w:val="00175147"/>
    <w:rsid w:val="001760C4"/>
    <w:rsid w:val="0017685E"/>
    <w:rsid w:val="00176C6A"/>
    <w:rsid w:val="00177462"/>
    <w:rsid w:val="0018226D"/>
    <w:rsid w:val="00182AF2"/>
    <w:rsid w:val="0018397E"/>
    <w:rsid w:val="0018445D"/>
    <w:rsid w:val="00184F0C"/>
    <w:rsid w:val="00186213"/>
    <w:rsid w:val="0018697B"/>
    <w:rsid w:val="001872F0"/>
    <w:rsid w:val="00190C2E"/>
    <w:rsid w:val="0019142C"/>
    <w:rsid w:val="00191CF2"/>
    <w:rsid w:val="00192EE9"/>
    <w:rsid w:val="001939D8"/>
    <w:rsid w:val="0019438F"/>
    <w:rsid w:val="00194BDF"/>
    <w:rsid w:val="001950B8"/>
    <w:rsid w:val="001955BD"/>
    <w:rsid w:val="001957D0"/>
    <w:rsid w:val="001A0AF1"/>
    <w:rsid w:val="001A17F7"/>
    <w:rsid w:val="001A1F1F"/>
    <w:rsid w:val="001A24AF"/>
    <w:rsid w:val="001A2C72"/>
    <w:rsid w:val="001A38ED"/>
    <w:rsid w:val="001A415A"/>
    <w:rsid w:val="001A429E"/>
    <w:rsid w:val="001A4AE0"/>
    <w:rsid w:val="001A5368"/>
    <w:rsid w:val="001A5707"/>
    <w:rsid w:val="001A6388"/>
    <w:rsid w:val="001A78C8"/>
    <w:rsid w:val="001A796E"/>
    <w:rsid w:val="001A7D95"/>
    <w:rsid w:val="001B09E3"/>
    <w:rsid w:val="001B1BF2"/>
    <w:rsid w:val="001B2438"/>
    <w:rsid w:val="001B2AD9"/>
    <w:rsid w:val="001B42C4"/>
    <w:rsid w:val="001B4D3C"/>
    <w:rsid w:val="001B6FA7"/>
    <w:rsid w:val="001B7E06"/>
    <w:rsid w:val="001C056C"/>
    <w:rsid w:val="001C0A14"/>
    <w:rsid w:val="001C105D"/>
    <w:rsid w:val="001C1D5E"/>
    <w:rsid w:val="001C2BB5"/>
    <w:rsid w:val="001C41D6"/>
    <w:rsid w:val="001C5AA4"/>
    <w:rsid w:val="001C62BA"/>
    <w:rsid w:val="001C6C0A"/>
    <w:rsid w:val="001C6F81"/>
    <w:rsid w:val="001D0F2D"/>
    <w:rsid w:val="001D1357"/>
    <w:rsid w:val="001D1704"/>
    <w:rsid w:val="001D1987"/>
    <w:rsid w:val="001D1DEA"/>
    <w:rsid w:val="001D3469"/>
    <w:rsid w:val="001D4458"/>
    <w:rsid w:val="001D5187"/>
    <w:rsid w:val="001D5C88"/>
    <w:rsid w:val="001D64CB"/>
    <w:rsid w:val="001D6932"/>
    <w:rsid w:val="001D6F41"/>
    <w:rsid w:val="001D6F93"/>
    <w:rsid w:val="001E0E39"/>
    <w:rsid w:val="001E17FE"/>
    <w:rsid w:val="001E1B11"/>
    <w:rsid w:val="001E1B12"/>
    <w:rsid w:val="001E30C4"/>
    <w:rsid w:val="001E381E"/>
    <w:rsid w:val="001E3E79"/>
    <w:rsid w:val="001E3FE4"/>
    <w:rsid w:val="001E5650"/>
    <w:rsid w:val="001E5FE9"/>
    <w:rsid w:val="001F1235"/>
    <w:rsid w:val="001F1A21"/>
    <w:rsid w:val="001F2456"/>
    <w:rsid w:val="001F247A"/>
    <w:rsid w:val="001F2D54"/>
    <w:rsid w:val="001F30F5"/>
    <w:rsid w:val="001F64B6"/>
    <w:rsid w:val="001F6781"/>
    <w:rsid w:val="001F6E56"/>
    <w:rsid w:val="001F776C"/>
    <w:rsid w:val="002004A7"/>
    <w:rsid w:val="00201275"/>
    <w:rsid w:val="0020141C"/>
    <w:rsid w:val="00203CCC"/>
    <w:rsid w:val="00206E8D"/>
    <w:rsid w:val="00207327"/>
    <w:rsid w:val="00207A7A"/>
    <w:rsid w:val="0021304C"/>
    <w:rsid w:val="00213509"/>
    <w:rsid w:val="00213FB7"/>
    <w:rsid w:val="0021584E"/>
    <w:rsid w:val="00215E65"/>
    <w:rsid w:val="0021614B"/>
    <w:rsid w:val="002171EE"/>
    <w:rsid w:val="002175FD"/>
    <w:rsid w:val="002179AA"/>
    <w:rsid w:val="00217A0A"/>
    <w:rsid w:val="00217F5D"/>
    <w:rsid w:val="00221202"/>
    <w:rsid w:val="00221E57"/>
    <w:rsid w:val="00222F89"/>
    <w:rsid w:val="0022354A"/>
    <w:rsid w:val="00223783"/>
    <w:rsid w:val="0022448F"/>
    <w:rsid w:val="002265B4"/>
    <w:rsid w:val="00227060"/>
    <w:rsid w:val="00227825"/>
    <w:rsid w:val="00227C9D"/>
    <w:rsid w:val="00230194"/>
    <w:rsid w:val="00232977"/>
    <w:rsid w:val="00233031"/>
    <w:rsid w:val="002349AE"/>
    <w:rsid w:val="00234A45"/>
    <w:rsid w:val="002354D9"/>
    <w:rsid w:val="0023595B"/>
    <w:rsid w:val="00235A51"/>
    <w:rsid w:val="00235BFD"/>
    <w:rsid w:val="00236194"/>
    <w:rsid w:val="00236247"/>
    <w:rsid w:val="00241F57"/>
    <w:rsid w:val="0024231F"/>
    <w:rsid w:val="00242337"/>
    <w:rsid w:val="002429CC"/>
    <w:rsid w:val="002429E3"/>
    <w:rsid w:val="00242A62"/>
    <w:rsid w:val="00243327"/>
    <w:rsid w:val="00243A27"/>
    <w:rsid w:val="00243C88"/>
    <w:rsid w:val="0024602A"/>
    <w:rsid w:val="00246616"/>
    <w:rsid w:val="0024688C"/>
    <w:rsid w:val="00247CF8"/>
    <w:rsid w:val="00250596"/>
    <w:rsid w:val="00250678"/>
    <w:rsid w:val="002517AF"/>
    <w:rsid w:val="002535E4"/>
    <w:rsid w:val="002539E5"/>
    <w:rsid w:val="002548EA"/>
    <w:rsid w:val="0025518C"/>
    <w:rsid w:val="002556EB"/>
    <w:rsid w:val="00256D10"/>
    <w:rsid w:val="002575F4"/>
    <w:rsid w:val="00260737"/>
    <w:rsid w:val="00260962"/>
    <w:rsid w:val="00261CDE"/>
    <w:rsid w:val="0026277B"/>
    <w:rsid w:val="00262840"/>
    <w:rsid w:val="0026297C"/>
    <w:rsid w:val="002636D8"/>
    <w:rsid w:val="0026465F"/>
    <w:rsid w:val="00264C0F"/>
    <w:rsid w:val="00265448"/>
    <w:rsid w:val="00266299"/>
    <w:rsid w:val="00267315"/>
    <w:rsid w:val="0026782C"/>
    <w:rsid w:val="00267C95"/>
    <w:rsid w:val="0027129D"/>
    <w:rsid w:val="00271613"/>
    <w:rsid w:val="00271D49"/>
    <w:rsid w:val="00271D92"/>
    <w:rsid w:val="002722AF"/>
    <w:rsid w:val="002725E4"/>
    <w:rsid w:val="002730C0"/>
    <w:rsid w:val="00274031"/>
    <w:rsid w:val="0027558D"/>
    <w:rsid w:val="00276709"/>
    <w:rsid w:val="002770D3"/>
    <w:rsid w:val="00277204"/>
    <w:rsid w:val="0028266E"/>
    <w:rsid w:val="00283F1E"/>
    <w:rsid w:val="0028590F"/>
    <w:rsid w:val="00286411"/>
    <w:rsid w:val="00286DC4"/>
    <w:rsid w:val="00287526"/>
    <w:rsid w:val="002875E1"/>
    <w:rsid w:val="00287AF5"/>
    <w:rsid w:val="0029111E"/>
    <w:rsid w:val="00292DC3"/>
    <w:rsid w:val="00294156"/>
    <w:rsid w:val="0029445C"/>
    <w:rsid w:val="00294D10"/>
    <w:rsid w:val="00295B41"/>
    <w:rsid w:val="00296058"/>
    <w:rsid w:val="00297212"/>
    <w:rsid w:val="002A0F6B"/>
    <w:rsid w:val="002A1355"/>
    <w:rsid w:val="002A152F"/>
    <w:rsid w:val="002A1C33"/>
    <w:rsid w:val="002A28E9"/>
    <w:rsid w:val="002A4E57"/>
    <w:rsid w:val="002A5CF9"/>
    <w:rsid w:val="002B006C"/>
    <w:rsid w:val="002B0474"/>
    <w:rsid w:val="002B2664"/>
    <w:rsid w:val="002B2AAE"/>
    <w:rsid w:val="002B4012"/>
    <w:rsid w:val="002B463B"/>
    <w:rsid w:val="002B5177"/>
    <w:rsid w:val="002B5C1C"/>
    <w:rsid w:val="002B5E0E"/>
    <w:rsid w:val="002C08C1"/>
    <w:rsid w:val="002C2FBB"/>
    <w:rsid w:val="002C3A30"/>
    <w:rsid w:val="002C5075"/>
    <w:rsid w:val="002C56BE"/>
    <w:rsid w:val="002C61A6"/>
    <w:rsid w:val="002C61C1"/>
    <w:rsid w:val="002C628C"/>
    <w:rsid w:val="002C6972"/>
    <w:rsid w:val="002C6E93"/>
    <w:rsid w:val="002C7368"/>
    <w:rsid w:val="002C73F9"/>
    <w:rsid w:val="002C7662"/>
    <w:rsid w:val="002C79F5"/>
    <w:rsid w:val="002D03F1"/>
    <w:rsid w:val="002D184B"/>
    <w:rsid w:val="002D1CDE"/>
    <w:rsid w:val="002D3B7C"/>
    <w:rsid w:val="002D513D"/>
    <w:rsid w:val="002D5B99"/>
    <w:rsid w:val="002D64C0"/>
    <w:rsid w:val="002D6934"/>
    <w:rsid w:val="002E07BD"/>
    <w:rsid w:val="002E0E82"/>
    <w:rsid w:val="002E1ABB"/>
    <w:rsid w:val="002E1D0E"/>
    <w:rsid w:val="002E2AE5"/>
    <w:rsid w:val="002E58FE"/>
    <w:rsid w:val="002E5DCA"/>
    <w:rsid w:val="002F3D2B"/>
    <w:rsid w:val="002F52F7"/>
    <w:rsid w:val="002F5A4F"/>
    <w:rsid w:val="002F607B"/>
    <w:rsid w:val="002F6217"/>
    <w:rsid w:val="002F64F1"/>
    <w:rsid w:val="002F719E"/>
    <w:rsid w:val="003003DC"/>
    <w:rsid w:val="0030081D"/>
    <w:rsid w:val="003029B6"/>
    <w:rsid w:val="00305797"/>
    <w:rsid w:val="0030583B"/>
    <w:rsid w:val="00305A86"/>
    <w:rsid w:val="00305A8E"/>
    <w:rsid w:val="003062AF"/>
    <w:rsid w:val="0030665B"/>
    <w:rsid w:val="0030697D"/>
    <w:rsid w:val="0030698D"/>
    <w:rsid w:val="0030702D"/>
    <w:rsid w:val="0030757B"/>
    <w:rsid w:val="0031033B"/>
    <w:rsid w:val="0031048C"/>
    <w:rsid w:val="0031055B"/>
    <w:rsid w:val="00310BED"/>
    <w:rsid w:val="0031130E"/>
    <w:rsid w:val="003114AD"/>
    <w:rsid w:val="003116D0"/>
    <w:rsid w:val="003117F0"/>
    <w:rsid w:val="003117F8"/>
    <w:rsid w:val="00311F0F"/>
    <w:rsid w:val="003122FF"/>
    <w:rsid w:val="0031291A"/>
    <w:rsid w:val="00313F4F"/>
    <w:rsid w:val="00314327"/>
    <w:rsid w:val="00314CCB"/>
    <w:rsid w:val="00315450"/>
    <w:rsid w:val="00315DFC"/>
    <w:rsid w:val="003176BF"/>
    <w:rsid w:val="00317C68"/>
    <w:rsid w:val="0032133C"/>
    <w:rsid w:val="00321677"/>
    <w:rsid w:val="003219C2"/>
    <w:rsid w:val="00321FA6"/>
    <w:rsid w:val="0032233D"/>
    <w:rsid w:val="00322D02"/>
    <w:rsid w:val="00322F36"/>
    <w:rsid w:val="0032302B"/>
    <w:rsid w:val="00323042"/>
    <w:rsid w:val="00324464"/>
    <w:rsid w:val="00325008"/>
    <w:rsid w:val="003257CC"/>
    <w:rsid w:val="00326400"/>
    <w:rsid w:val="0032642C"/>
    <w:rsid w:val="0033001B"/>
    <w:rsid w:val="003305E6"/>
    <w:rsid w:val="0033138B"/>
    <w:rsid w:val="003326DF"/>
    <w:rsid w:val="0033365A"/>
    <w:rsid w:val="00333891"/>
    <w:rsid w:val="00334837"/>
    <w:rsid w:val="00335314"/>
    <w:rsid w:val="00335663"/>
    <w:rsid w:val="003357FA"/>
    <w:rsid w:val="003360DF"/>
    <w:rsid w:val="00336F3E"/>
    <w:rsid w:val="00340C4D"/>
    <w:rsid w:val="00340C78"/>
    <w:rsid w:val="0034142A"/>
    <w:rsid w:val="00342991"/>
    <w:rsid w:val="003430E5"/>
    <w:rsid w:val="0034322D"/>
    <w:rsid w:val="003434D1"/>
    <w:rsid w:val="00343D3B"/>
    <w:rsid w:val="00345C16"/>
    <w:rsid w:val="00346294"/>
    <w:rsid w:val="00347015"/>
    <w:rsid w:val="003472B6"/>
    <w:rsid w:val="0035065B"/>
    <w:rsid w:val="00351BCD"/>
    <w:rsid w:val="00352A29"/>
    <w:rsid w:val="00352A2F"/>
    <w:rsid w:val="00352E9D"/>
    <w:rsid w:val="00354F01"/>
    <w:rsid w:val="003553D7"/>
    <w:rsid w:val="003562CE"/>
    <w:rsid w:val="00356887"/>
    <w:rsid w:val="00357414"/>
    <w:rsid w:val="003600A2"/>
    <w:rsid w:val="00362DBD"/>
    <w:rsid w:val="00363FB9"/>
    <w:rsid w:val="0036475D"/>
    <w:rsid w:val="00365540"/>
    <w:rsid w:val="003664AC"/>
    <w:rsid w:val="00366C64"/>
    <w:rsid w:val="00366DB9"/>
    <w:rsid w:val="00367EC9"/>
    <w:rsid w:val="0037100A"/>
    <w:rsid w:val="00372324"/>
    <w:rsid w:val="00372635"/>
    <w:rsid w:val="00374C47"/>
    <w:rsid w:val="00374FDC"/>
    <w:rsid w:val="003764CE"/>
    <w:rsid w:val="0037676A"/>
    <w:rsid w:val="003769E8"/>
    <w:rsid w:val="0037795D"/>
    <w:rsid w:val="00377DEA"/>
    <w:rsid w:val="00380248"/>
    <w:rsid w:val="003807F3"/>
    <w:rsid w:val="00381381"/>
    <w:rsid w:val="00381386"/>
    <w:rsid w:val="00382A02"/>
    <w:rsid w:val="0038390E"/>
    <w:rsid w:val="00383A8E"/>
    <w:rsid w:val="003845E9"/>
    <w:rsid w:val="00384667"/>
    <w:rsid w:val="00384C2E"/>
    <w:rsid w:val="00385425"/>
    <w:rsid w:val="0038543C"/>
    <w:rsid w:val="00385743"/>
    <w:rsid w:val="00386BB7"/>
    <w:rsid w:val="00387F2D"/>
    <w:rsid w:val="00390127"/>
    <w:rsid w:val="00390F18"/>
    <w:rsid w:val="00391A9E"/>
    <w:rsid w:val="00392F10"/>
    <w:rsid w:val="00392FF2"/>
    <w:rsid w:val="003939BD"/>
    <w:rsid w:val="00394D72"/>
    <w:rsid w:val="00394F1C"/>
    <w:rsid w:val="003968FB"/>
    <w:rsid w:val="00397F8C"/>
    <w:rsid w:val="003A04B3"/>
    <w:rsid w:val="003A061D"/>
    <w:rsid w:val="003A06A0"/>
    <w:rsid w:val="003A190E"/>
    <w:rsid w:val="003A19A7"/>
    <w:rsid w:val="003A1FBD"/>
    <w:rsid w:val="003A2440"/>
    <w:rsid w:val="003A3BD9"/>
    <w:rsid w:val="003A3F58"/>
    <w:rsid w:val="003A453F"/>
    <w:rsid w:val="003A4BFA"/>
    <w:rsid w:val="003A4EC0"/>
    <w:rsid w:val="003A4F0E"/>
    <w:rsid w:val="003A5573"/>
    <w:rsid w:val="003A5DA8"/>
    <w:rsid w:val="003A5EDE"/>
    <w:rsid w:val="003A7EEA"/>
    <w:rsid w:val="003B04E5"/>
    <w:rsid w:val="003B0C08"/>
    <w:rsid w:val="003B10E1"/>
    <w:rsid w:val="003B1A37"/>
    <w:rsid w:val="003B223C"/>
    <w:rsid w:val="003B2336"/>
    <w:rsid w:val="003B3142"/>
    <w:rsid w:val="003B3931"/>
    <w:rsid w:val="003B5A20"/>
    <w:rsid w:val="003B799A"/>
    <w:rsid w:val="003C05DF"/>
    <w:rsid w:val="003C0DD0"/>
    <w:rsid w:val="003C185A"/>
    <w:rsid w:val="003C4E97"/>
    <w:rsid w:val="003C52D0"/>
    <w:rsid w:val="003C599A"/>
    <w:rsid w:val="003C696B"/>
    <w:rsid w:val="003C6C20"/>
    <w:rsid w:val="003C6D24"/>
    <w:rsid w:val="003C70D8"/>
    <w:rsid w:val="003C74AD"/>
    <w:rsid w:val="003C7862"/>
    <w:rsid w:val="003D03A0"/>
    <w:rsid w:val="003D12AD"/>
    <w:rsid w:val="003D28C2"/>
    <w:rsid w:val="003D2AF0"/>
    <w:rsid w:val="003D44FD"/>
    <w:rsid w:val="003D4FE4"/>
    <w:rsid w:val="003D6022"/>
    <w:rsid w:val="003D6A37"/>
    <w:rsid w:val="003D707A"/>
    <w:rsid w:val="003D7748"/>
    <w:rsid w:val="003E0B22"/>
    <w:rsid w:val="003E0BF3"/>
    <w:rsid w:val="003E1533"/>
    <w:rsid w:val="003E2025"/>
    <w:rsid w:val="003E43DA"/>
    <w:rsid w:val="003E44BE"/>
    <w:rsid w:val="003E4EC7"/>
    <w:rsid w:val="003E789F"/>
    <w:rsid w:val="003F103A"/>
    <w:rsid w:val="003F1568"/>
    <w:rsid w:val="003F1657"/>
    <w:rsid w:val="003F2658"/>
    <w:rsid w:val="003F339C"/>
    <w:rsid w:val="003F3C39"/>
    <w:rsid w:val="003F5876"/>
    <w:rsid w:val="003F6695"/>
    <w:rsid w:val="003F7060"/>
    <w:rsid w:val="003F7CC7"/>
    <w:rsid w:val="004004C3"/>
    <w:rsid w:val="00400550"/>
    <w:rsid w:val="004016AA"/>
    <w:rsid w:val="004018E6"/>
    <w:rsid w:val="00402E38"/>
    <w:rsid w:val="00402FA0"/>
    <w:rsid w:val="004030C0"/>
    <w:rsid w:val="00403B05"/>
    <w:rsid w:val="00404266"/>
    <w:rsid w:val="004049D9"/>
    <w:rsid w:val="00404F60"/>
    <w:rsid w:val="00405516"/>
    <w:rsid w:val="004056A5"/>
    <w:rsid w:val="00406161"/>
    <w:rsid w:val="00406284"/>
    <w:rsid w:val="0040634B"/>
    <w:rsid w:val="00407AC5"/>
    <w:rsid w:val="00410A1C"/>
    <w:rsid w:val="0041184A"/>
    <w:rsid w:val="00412C9E"/>
    <w:rsid w:val="00414492"/>
    <w:rsid w:val="00415958"/>
    <w:rsid w:val="00416929"/>
    <w:rsid w:val="00416A32"/>
    <w:rsid w:val="00420E50"/>
    <w:rsid w:val="0042168A"/>
    <w:rsid w:val="004223D5"/>
    <w:rsid w:val="00423400"/>
    <w:rsid w:val="0042353E"/>
    <w:rsid w:val="0042359B"/>
    <w:rsid w:val="00423F08"/>
    <w:rsid w:val="00424ABE"/>
    <w:rsid w:val="00425397"/>
    <w:rsid w:val="00426E6E"/>
    <w:rsid w:val="004274BB"/>
    <w:rsid w:val="004315BE"/>
    <w:rsid w:val="0043381E"/>
    <w:rsid w:val="00433AEA"/>
    <w:rsid w:val="004343CD"/>
    <w:rsid w:val="00434482"/>
    <w:rsid w:val="004362AC"/>
    <w:rsid w:val="00440650"/>
    <w:rsid w:val="00440A1B"/>
    <w:rsid w:val="0044259E"/>
    <w:rsid w:val="00442FAF"/>
    <w:rsid w:val="004433DE"/>
    <w:rsid w:val="004439A4"/>
    <w:rsid w:val="00443F7F"/>
    <w:rsid w:val="004442E9"/>
    <w:rsid w:val="00445947"/>
    <w:rsid w:val="00445C3F"/>
    <w:rsid w:val="00445EFF"/>
    <w:rsid w:val="004460EA"/>
    <w:rsid w:val="004465FC"/>
    <w:rsid w:val="00446FCF"/>
    <w:rsid w:val="00447ED7"/>
    <w:rsid w:val="00450B9E"/>
    <w:rsid w:val="00450EDA"/>
    <w:rsid w:val="00450EF2"/>
    <w:rsid w:val="00451A58"/>
    <w:rsid w:val="00451B3D"/>
    <w:rsid w:val="00452F5B"/>
    <w:rsid w:val="004538B6"/>
    <w:rsid w:val="00457C40"/>
    <w:rsid w:val="00457E53"/>
    <w:rsid w:val="0046048A"/>
    <w:rsid w:val="00460FC1"/>
    <w:rsid w:val="004622AB"/>
    <w:rsid w:val="004625CA"/>
    <w:rsid w:val="00463D67"/>
    <w:rsid w:val="00465484"/>
    <w:rsid w:val="004663A4"/>
    <w:rsid w:val="00466455"/>
    <w:rsid w:val="004677BD"/>
    <w:rsid w:val="0047012D"/>
    <w:rsid w:val="004704F2"/>
    <w:rsid w:val="00470BE2"/>
    <w:rsid w:val="0047163B"/>
    <w:rsid w:val="00472B71"/>
    <w:rsid w:val="00473400"/>
    <w:rsid w:val="004737C1"/>
    <w:rsid w:val="00473B0A"/>
    <w:rsid w:val="0047560B"/>
    <w:rsid w:val="00475A24"/>
    <w:rsid w:val="00475E07"/>
    <w:rsid w:val="00477730"/>
    <w:rsid w:val="00477B24"/>
    <w:rsid w:val="00477E59"/>
    <w:rsid w:val="00477F43"/>
    <w:rsid w:val="00480145"/>
    <w:rsid w:val="0048077B"/>
    <w:rsid w:val="004809C7"/>
    <w:rsid w:val="0048309E"/>
    <w:rsid w:val="00483333"/>
    <w:rsid w:val="00483418"/>
    <w:rsid w:val="00484CB6"/>
    <w:rsid w:val="0048653A"/>
    <w:rsid w:val="00486FD6"/>
    <w:rsid w:val="00487241"/>
    <w:rsid w:val="00487A3A"/>
    <w:rsid w:val="00487A92"/>
    <w:rsid w:val="004903E8"/>
    <w:rsid w:val="00490C6B"/>
    <w:rsid w:val="004910B0"/>
    <w:rsid w:val="004927BB"/>
    <w:rsid w:val="004929DF"/>
    <w:rsid w:val="00492B0E"/>
    <w:rsid w:val="00493D34"/>
    <w:rsid w:val="00493FB4"/>
    <w:rsid w:val="00494046"/>
    <w:rsid w:val="0049437C"/>
    <w:rsid w:val="00495840"/>
    <w:rsid w:val="0049791D"/>
    <w:rsid w:val="00497A7A"/>
    <w:rsid w:val="00497EFB"/>
    <w:rsid w:val="004A01D1"/>
    <w:rsid w:val="004A0405"/>
    <w:rsid w:val="004A071E"/>
    <w:rsid w:val="004A0EFA"/>
    <w:rsid w:val="004A2408"/>
    <w:rsid w:val="004A2B0C"/>
    <w:rsid w:val="004A2B5C"/>
    <w:rsid w:val="004A2B81"/>
    <w:rsid w:val="004A2D03"/>
    <w:rsid w:val="004A2E6C"/>
    <w:rsid w:val="004A31C4"/>
    <w:rsid w:val="004A34D9"/>
    <w:rsid w:val="004A3625"/>
    <w:rsid w:val="004A3F0F"/>
    <w:rsid w:val="004A4AB6"/>
    <w:rsid w:val="004A4BEF"/>
    <w:rsid w:val="004A4D59"/>
    <w:rsid w:val="004A6124"/>
    <w:rsid w:val="004A6564"/>
    <w:rsid w:val="004A6B13"/>
    <w:rsid w:val="004A6B17"/>
    <w:rsid w:val="004A71C7"/>
    <w:rsid w:val="004A7865"/>
    <w:rsid w:val="004B03A1"/>
    <w:rsid w:val="004B052E"/>
    <w:rsid w:val="004B0830"/>
    <w:rsid w:val="004B0B82"/>
    <w:rsid w:val="004B170E"/>
    <w:rsid w:val="004B2C41"/>
    <w:rsid w:val="004B44B7"/>
    <w:rsid w:val="004B5166"/>
    <w:rsid w:val="004B5493"/>
    <w:rsid w:val="004B59A9"/>
    <w:rsid w:val="004B5F9B"/>
    <w:rsid w:val="004B7F90"/>
    <w:rsid w:val="004C0182"/>
    <w:rsid w:val="004C06E4"/>
    <w:rsid w:val="004C1F55"/>
    <w:rsid w:val="004C2FE0"/>
    <w:rsid w:val="004C50D8"/>
    <w:rsid w:val="004C5AB0"/>
    <w:rsid w:val="004C7F1A"/>
    <w:rsid w:val="004D1725"/>
    <w:rsid w:val="004D29A8"/>
    <w:rsid w:val="004D3284"/>
    <w:rsid w:val="004D39E2"/>
    <w:rsid w:val="004D3A40"/>
    <w:rsid w:val="004D51A7"/>
    <w:rsid w:val="004D5F7C"/>
    <w:rsid w:val="004D61FB"/>
    <w:rsid w:val="004D630F"/>
    <w:rsid w:val="004E01AB"/>
    <w:rsid w:val="004E05E8"/>
    <w:rsid w:val="004E1534"/>
    <w:rsid w:val="004E1ED6"/>
    <w:rsid w:val="004E2CE2"/>
    <w:rsid w:val="004E31CD"/>
    <w:rsid w:val="004E3221"/>
    <w:rsid w:val="004E32B2"/>
    <w:rsid w:val="004E3EE5"/>
    <w:rsid w:val="004E489E"/>
    <w:rsid w:val="004E50EA"/>
    <w:rsid w:val="004E5829"/>
    <w:rsid w:val="004E6302"/>
    <w:rsid w:val="004F14D0"/>
    <w:rsid w:val="004F2465"/>
    <w:rsid w:val="004F2861"/>
    <w:rsid w:val="004F4056"/>
    <w:rsid w:val="004F45CD"/>
    <w:rsid w:val="004F54B5"/>
    <w:rsid w:val="004F5F71"/>
    <w:rsid w:val="00502D22"/>
    <w:rsid w:val="005033E0"/>
    <w:rsid w:val="0050417D"/>
    <w:rsid w:val="0050515B"/>
    <w:rsid w:val="00506FE7"/>
    <w:rsid w:val="00511975"/>
    <w:rsid w:val="005129F4"/>
    <w:rsid w:val="00512BB8"/>
    <w:rsid w:val="00513DFF"/>
    <w:rsid w:val="00514C11"/>
    <w:rsid w:val="005155DD"/>
    <w:rsid w:val="00515AD2"/>
    <w:rsid w:val="00516CA7"/>
    <w:rsid w:val="005174ED"/>
    <w:rsid w:val="0052156B"/>
    <w:rsid w:val="005237A0"/>
    <w:rsid w:val="00523D5F"/>
    <w:rsid w:val="00524018"/>
    <w:rsid w:val="00525266"/>
    <w:rsid w:val="00525298"/>
    <w:rsid w:val="00525697"/>
    <w:rsid w:val="00533CDD"/>
    <w:rsid w:val="005344A2"/>
    <w:rsid w:val="005344AB"/>
    <w:rsid w:val="00534709"/>
    <w:rsid w:val="00534F74"/>
    <w:rsid w:val="00535694"/>
    <w:rsid w:val="00535804"/>
    <w:rsid w:val="00535A91"/>
    <w:rsid w:val="00536293"/>
    <w:rsid w:val="00536746"/>
    <w:rsid w:val="00536C24"/>
    <w:rsid w:val="00541CF0"/>
    <w:rsid w:val="00543046"/>
    <w:rsid w:val="00546C12"/>
    <w:rsid w:val="005472C9"/>
    <w:rsid w:val="00550276"/>
    <w:rsid w:val="00550A2E"/>
    <w:rsid w:val="00550AD0"/>
    <w:rsid w:val="00552756"/>
    <w:rsid w:val="005538AF"/>
    <w:rsid w:val="00554889"/>
    <w:rsid w:val="00554BCD"/>
    <w:rsid w:val="0055540D"/>
    <w:rsid w:val="005567B5"/>
    <w:rsid w:val="00556B0C"/>
    <w:rsid w:val="00561FC3"/>
    <w:rsid w:val="00562324"/>
    <w:rsid w:val="00564194"/>
    <w:rsid w:val="005647FA"/>
    <w:rsid w:val="00564F28"/>
    <w:rsid w:val="0056559B"/>
    <w:rsid w:val="00565948"/>
    <w:rsid w:val="00566056"/>
    <w:rsid w:val="005670F0"/>
    <w:rsid w:val="00572774"/>
    <w:rsid w:val="00573121"/>
    <w:rsid w:val="00573427"/>
    <w:rsid w:val="005736D1"/>
    <w:rsid w:val="0057426D"/>
    <w:rsid w:val="00575D0F"/>
    <w:rsid w:val="005762A3"/>
    <w:rsid w:val="00583767"/>
    <w:rsid w:val="00583E5B"/>
    <w:rsid w:val="00584832"/>
    <w:rsid w:val="00584F54"/>
    <w:rsid w:val="00585C73"/>
    <w:rsid w:val="00585FCC"/>
    <w:rsid w:val="00587AA5"/>
    <w:rsid w:val="00587D23"/>
    <w:rsid w:val="00590F79"/>
    <w:rsid w:val="005918E6"/>
    <w:rsid w:val="00592C87"/>
    <w:rsid w:val="00592D91"/>
    <w:rsid w:val="00593397"/>
    <w:rsid w:val="005948B1"/>
    <w:rsid w:val="0059538E"/>
    <w:rsid w:val="005961BD"/>
    <w:rsid w:val="005A0F89"/>
    <w:rsid w:val="005A104F"/>
    <w:rsid w:val="005A1133"/>
    <w:rsid w:val="005A1B2B"/>
    <w:rsid w:val="005A3A65"/>
    <w:rsid w:val="005A3CD3"/>
    <w:rsid w:val="005A4603"/>
    <w:rsid w:val="005A4850"/>
    <w:rsid w:val="005A568E"/>
    <w:rsid w:val="005A5B50"/>
    <w:rsid w:val="005A669F"/>
    <w:rsid w:val="005A6AD5"/>
    <w:rsid w:val="005A6C00"/>
    <w:rsid w:val="005A704F"/>
    <w:rsid w:val="005A7142"/>
    <w:rsid w:val="005B1A16"/>
    <w:rsid w:val="005B1F0F"/>
    <w:rsid w:val="005B2907"/>
    <w:rsid w:val="005B3189"/>
    <w:rsid w:val="005B50A5"/>
    <w:rsid w:val="005B5B72"/>
    <w:rsid w:val="005B7431"/>
    <w:rsid w:val="005B7982"/>
    <w:rsid w:val="005B7ACB"/>
    <w:rsid w:val="005C061E"/>
    <w:rsid w:val="005C08BD"/>
    <w:rsid w:val="005C0D0B"/>
    <w:rsid w:val="005C1129"/>
    <w:rsid w:val="005C1C18"/>
    <w:rsid w:val="005C2298"/>
    <w:rsid w:val="005C303E"/>
    <w:rsid w:val="005C394F"/>
    <w:rsid w:val="005C4286"/>
    <w:rsid w:val="005C58DB"/>
    <w:rsid w:val="005C7DF7"/>
    <w:rsid w:val="005D081A"/>
    <w:rsid w:val="005D19D6"/>
    <w:rsid w:val="005D2880"/>
    <w:rsid w:val="005D2B1C"/>
    <w:rsid w:val="005D3119"/>
    <w:rsid w:val="005D31AA"/>
    <w:rsid w:val="005D31EF"/>
    <w:rsid w:val="005D3DCB"/>
    <w:rsid w:val="005D53E6"/>
    <w:rsid w:val="005D59E8"/>
    <w:rsid w:val="005D5CEA"/>
    <w:rsid w:val="005D6BF5"/>
    <w:rsid w:val="005D7009"/>
    <w:rsid w:val="005D70B4"/>
    <w:rsid w:val="005D788D"/>
    <w:rsid w:val="005E0AFA"/>
    <w:rsid w:val="005E1309"/>
    <w:rsid w:val="005E17CE"/>
    <w:rsid w:val="005E1935"/>
    <w:rsid w:val="005E1BD0"/>
    <w:rsid w:val="005E1BDE"/>
    <w:rsid w:val="005E3B02"/>
    <w:rsid w:val="005E470F"/>
    <w:rsid w:val="005E4E2F"/>
    <w:rsid w:val="005E52A5"/>
    <w:rsid w:val="005E52AF"/>
    <w:rsid w:val="005E5423"/>
    <w:rsid w:val="005E57F9"/>
    <w:rsid w:val="005E745F"/>
    <w:rsid w:val="005E7EDD"/>
    <w:rsid w:val="005F0679"/>
    <w:rsid w:val="005F0682"/>
    <w:rsid w:val="005F0AC2"/>
    <w:rsid w:val="005F0CEC"/>
    <w:rsid w:val="005F13EC"/>
    <w:rsid w:val="005F14DF"/>
    <w:rsid w:val="005F23F1"/>
    <w:rsid w:val="005F2CD7"/>
    <w:rsid w:val="005F3159"/>
    <w:rsid w:val="005F33ED"/>
    <w:rsid w:val="005F56CA"/>
    <w:rsid w:val="005F5F6F"/>
    <w:rsid w:val="005F73C8"/>
    <w:rsid w:val="005F7C93"/>
    <w:rsid w:val="0060036C"/>
    <w:rsid w:val="00600F2E"/>
    <w:rsid w:val="00601C67"/>
    <w:rsid w:val="006025A2"/>
    <w:rsid w:val="00602E75"/>
    <w:rsid w:val="0060353C"/>
    <w:rsid w:val="00603C41"/>
    <w:rsid w:val="006068C4"/>
    <w:rsid w:val="00607EAD"/>
    <w:rsid w:val="00611896"/>
    <w:rsid w:val="0061233B"/>
    <w:rsid w:val="00613988"/>
    <w:rsid w:val="00614A34"/>
    <w:rsid w:val="00614F80"/>
    <w:rsid w:val="0061530B"/>
    <w:rsid w:val="00615347"/>
    <w:rsid w:val="0061566A"/>
    <w:rsid w:val="00616870"/>
    <w:rsid w:val="00617A06"/>
    <w:rsid w:val="00617CF4"/>
    <w:rsid w:val="00621BCF"/>
    <w:rsid w:val="00622663"/>
    <w:rsid w:val="00622873"/>
    <w:rsid w:val="00623C83"/>
    <w:rsid w:val="00624868"/>
    <w:rsid w:val="006248E2"/>
    <w:rsid w:val="0062560A"/>
    <w:rsid w:val="00626123"/>
    <w:rsid w:val="006267A8"/>
    <w:rsid w:val="00626CEF"/>
    <w:rsid w:val="00630347"/>
    <w:rsid w:val="0063052E"/>
    <w:rsid w:val="00630912"/>
    <w:rsid w:val="00632C9F"/>
    <w:rsid w:val="00633BA3"/>
    <w:rsid w:val="00633EB8"/>
    <w:rsid w:val="00635D01"/>
    <w:rsid w:val="00635D70"/>
    <w:rsid w:val="00636159"/>
    <w:rsid w:val="0063706C"/>
    <w:rsid w:val="006370E9"/>
    <w:rsid w:val="006416EC"/>
    <w:rsid w:val="006429D2"/>
    <w:rsid w:val="00643337"/>
    <w:rsid w:val="006435F8"/>
    <w:rsid w:val="00643B31"/>
    <w:rsid w:val="006445A0"/>
    <w:rsid w:val="00644740"/>
    <w:rsid w:val="00644CF6"/>
    <w:rsid w:val="00645C11"/>
    <w:rsid w:val="00645EDA"/>
    <w:rsid w:val="0064645D"/>
    <w:rsid w:val="00647670"/>
    <w:rsid w:val="00650C28"/>
    <w:rsid w:val="00650F54"/>
    <w:rsid w:val="0065269D"/>
    <w:rsid w:val="006546D8"/>
    <w:rsid w:val="00654E5B"/>
    <w:rsid w:val="00656077"/>
    <w:rsid w:val="00656847"/>
    <w:rsid w:val="00656D32"/>
    <w:rsid w:val="00656DDE"/>
    <w:rsid w:val="00657576"/>
    <w:rsid w:val="00657697"/>
    <w:rsid w:val="00657898"/>
    <w:rsid w:val="006601F7"/>
    <w:rsid w:val="006603B3"/>
    <w:rsid w:val="00660B43"/>
    <w:rsid w:val="00660FF1"/>
    <w:rsid w:val="006611AA"/>
    <w:rsid w:val="006629F7"/>
    <w:rsid w:val="00662CB8"/>
    <w:rsid w:val="00663217"/>
    <w:rsid w:val="0066399B"/>
    <w:rsid w:val="00663E6A"/>
    <w:rsid w:val="00663EE1"/>
    <w:rsid w:val="006647DE"/>
    <w:rsid w:val="006659CB"/>
    <w:rsid w:val="00666043"/>
    <w:rsid w:val="00666E42"/>
    <w:rsid w:val="00667DE7"/>
    <w:rsid w:val="00672420"/>
    <w:rsid w:val="006725A2"/>
    <w:rsid w:val="00673401"/>
    <w:rsid w:val="00673408"/>
    <w:rsid w:val="00673DB2"/>
    <w:rsid w:val="006743B1"/>
    <w:rsid w:val="00674522"/>
    <w:rsid w:val="006747BD"/>
    <w:rsid w:val="006749AF"/>
    <w:rsid w:val="00675068"/>
    <w:rsid w:val="006752A1"/>
    <w:rsid w:val="00677562"/>
    <w:rsid w:val="00677979"/>
    <w:rsid w:val="00680196"/>
    <w:rsid w:val="00681F93"/>
    <w:rsid w:val="006826CC"/>
    <w:rsid w:val="00682EA0"/>
    <w:rsid w:val="00683040"/>
    <w:rsid w:val="0068369E"/>
    <w:rsid w:val="006839C4"/>
    <w:rsid w:val="006847BB"/>
    <w:rsid w:val="0068712F"/>
    <w:rsid w:val="00691094"/>
    <w:rsid w:val="006913A2"/>
    <w:rsid w:val="006913C0"/>
    <w:rsid w:val="0069312F"/>
    <w:rsid w:val="006954E2"/>
    <w:rsid w:val="006959E3"/>
    <w:rsid w:val="00695E2E"/>
    <w:rsid w:val="0069603A"/>
    <w:rsid w:val="006966E9"/>
    <w:rsid w:val="00697802"/>
    <w:rsid w:val="00697ABF"/>
    <w:rsid w:val="006A19AC"/>
    <w:rsid w:val="006A1D67"/>
    <w:rsid w:val="006A1EAC"/>
    <w:rsid w:val="006A34FB"/>
    <w:rsid w:val="006A3986"/>
    <w:rsid w:val="006A39A8"/>
    <w:rsid w:val="006A447C"/>
    <w:rsid w:val="006A4D1A"/>
    <w:rsid w:val="006A7BBC"/>
    <w:rsid w:val="006B1275"/>
    <w:rsid w:val="006B1AB2"/>
    <w:rsid w:val="006B1C9E"/>
    <w:rsid w:val="006B1EFA"/>
    <w:rsid w:val="006B2158"/>
    <w:rsid w:val="006B2CCC"/>
    <w:rsid w:val="006B32FF"/>
    <w:rsid w:val="006B4B15"/>
    <w:rsid w:val="006B5177"/>
    <w:rsid w:val="006B71C3"/>
    <w:rsid w:val="006B75AC"/>
    <w:rsid w:val="006B79F3"/>
    <w:rsid w:val="006B7FBA"/>
    <w:rsid w:val="006C0033"/>
    <w:rsid w:val="006C02D1"/>
    <w:rsid w:val="006C1ADF"/>
    <w:rsid w:val="006C1EED"/>
    <w:rsid w:val="006C2037"/>
    <w:rsid w:val="006C20BE"/>
    <w:rsid w:val="006C21D0"/>
    <w:rsid w:val="006C22E5"/>
    <w:rsid w:val="006C51BC"/>
    <w:rsid w:val="006C6532"/>
    <w:rsid w:val="006C653E"/>
    <w:rsid w:val="006C65D8"/>
    <w:rsid w:val="006C6AB2"/>
    <w:rsid w:val="006D0061"/>
    <w:rsid w:val="006D0488"/>
    <w:rsid w:val="006D231A"/>
    <w:rsid w:val="006D24B0"/>
    <w:rsid w:val="006D371C"/>
    <w:rsid w:val="006D4C07"/>
    <w:rsid w:val="006D542C"/>
    <w:rsid w:val="006D553E"/>
    <w:rsid w:val="006D5D93"/>
    <w:rsid w:val="006D64F0"/>
    <w:rsid w:val="006D746C"/>
    <w:rsid w:val="006D7A89"/>
    <w:rsid w:val="006D7FC8"/>
    <w:rsid w:val="006E0539"/>
    <w:rsid w:val="006E162F"/>
    <w:rsid w:val="006E21A0"/>
    <w:rsid w:val="006E22FC"/>
    <w:rsid w:val="006E2CED"/>
    <w:rsid w:val="006E307E"/>
    <w:rsid w:val="006E49BF"/>
    <w:rsid w:val="006E4AE1"/>
    <w:rsid w:val="006E4C45"/>
    <w:rsid w:val="006E5034"/>
    <w:rsid w:val="006E5EB9"/>
    <w:rsid w:val="006F16CF"/>
    <w:rsid w:val="006F29B0"/>
    <w:rsid w:val="006F2A72"/>
    <w:rsid w:val="006F2E53"/>
    <w:rsid w:val="006F30F1"/>
    <w:rsid w:val="006F3849"/>
    <w:rsid w:val="006F3E3E"/>
    <w:rsid w:val="006F56F3"/>
    <w:rsid w:val="006F5E6A"/>
    <w:rsid w:val="006F7F12"/>
    <w:rsid w:val="00700ACE"/>
    <w:rsid w:val="0070158F"/>
    <w:rsid w:val="007033BD"/>
    <w:rsid w:val="00703C12"/>
    <w:rsid w:val="00705713"/>
    <w:rsid w:val="00705B7C"/>
    <w:rsid w:val="007064A8"/>
    <w:rsid w:val="007070BC"/>
    <w:rsid w:val="00707CD2"/>
    <w:rsid w:val="007119B8"/>
    <w:rsid w:val="00712141"/>
    <w:rsid w:val="007122C4"/>
    <w:rsid w:val="00712AAB"/>
    <w:rsid w:val="007135CC"/>
    <w:rsid w:val="00714287"/>
    <w:rsid w:val="00714E64"/>
    <w:rsid w:val="00715BD6"/>
    <w:rsid w:val="0071698B"/>
    <w:rsid w:val="007175EF"/>
    <w:rsid w:val="00720CCC"/>
    <w:rsid w:val="00720FFF"/>
    <w:rsid w:val="007211D8"/>
    <w:rsid w:val="00721A07"/>
    <w:rsid w:val="00722086"/>
    <w:rsid w:val="00723F75"/>
    <w:rsid w:val="007246E0"/>
    <w:rsid w:val="00725569"/>
    <w:rsid w:val="007269E1"/>
    <w:rsid w:val="00726AD9"/>
    <w:rsid w:val="007274DA"/>
    <w:rsid w:val="00727847"/>
    <w:rsid w:val="00730BBA"/>
    <w:rsid w:val="00731D1F"/>
    <w:rsid w:val="007321ED"/>
    <w:rsid w:val="007323EE"/>
    <w:rsid w:val="0073240A"/>
    <w:rsid w:val="00732A63"/>
    <w:rsid w:val="00733DA6"/>
    <w:rsid w:val="00734ED4"/>
    <w:rsid w:val="00736328"/>
    <w:rsid w:val="00736612"/>
    <w:rsid w:val="007374FD"/>
    <w:rsid w:val="0074146A"/>
    <w:rsid w:val="00741C44"/>
    <w:rsid w:val="007423C9"/>
    <w:rsid w:val="007429F3"/>
    <w:rsid w:val="00743A70"/>
    <w:rsid w:val="0074665F"/>
    <w:rsid w:val="00746765"/>
    <w:rsid w:val="00746A72"/>
    <w:rsid w:val="00747F32"/>
    <w:rsid w:val="00747FF6"/>
    <w:rsid w:val="007512DA"/>
    <w:rsid w:val="00751602"/>
    <w:rsid w:val="00756209"/>
    <w:rsid w:val="00756E8A"/>
    <w:rsid w:val="00757DE9"/>
    <w:rsid w:val="00761873"/>
    <w:rsid w:val="00762383"/>
    <w:rsid w:val="0076291B"/>
    <w:rsid w:val="00762A09"/>
    <w:rsid w:val="007633DF"/>
    <w:rsid w:val="007638D2"/>
    <w:rsid w:val="00764EBE"/>
    <w:rsid w:val="00764F1B"/>
    <w:rsid w:val="00765323"/>
    <w:rsid w:val="007661D0"/>
    <w:rsid w:val="00767566"/>
    <w:rsid w:val="00770065"/>
    <w:rsid w:val="00770B0C"/>
    <w:rsid w:val="00770C87"/>
    <w:rsid w:val="007713DB"/>
    <w:rsid w:val="00771A89"/>
    <w:rsid w:val="00771C07"/>
    <w:rsid w:val="00772921"/>
    <w:rsid w:val="0077298C"/>
    <w:rsid w:val="00774420"/>
    <w:rsid w:val="007744A2"/>
    <w:rsid w:val="00774F2A"/>
    <w:rsid w:val="00775CEC"/>
    <w:rsid w:val="007761E6"/>
    <w:rsid w:val="007764B7"/>
    <w:rsid w:val="00776F60"/>
    <w:rsid w:val="00777B34"/>
    <w:rsid w:val="007805B8"/>
    <w:rsid w:val="00780B99"/>
    <w:rsid w:val="007812A2"/>
    <w:rsid w:val="007816B9"/>
    <w:rsid w:val="00781AA0"/>
    <w:rsid w:val="00782EB5"/>
    <w:rsid w:val="00783BC4"/>
    <w:rsid w:val="00783D39"/>
    <w:rsid w:val="00783FA3"/>
    <w:rsid w:val="007846E4"/>
    <w:rsid w:val="00784DEA"/>
    <w:rsid w:val="00785685"/>
    <w:rsid w:val="0078594D"/>
    <w:rsid w:val="007867A3"/>
    <w:rsid w:val="00787787"/>
    <w:rsid w:val="00787C67"/>
    <w:rsid w:val="00787F4B"/>
    <w:rsid w:val="00791BA8"/>
    <w:rsid w:val="0079273B"/>
    <w:rsid w:val="007939EF"/>
    <w:rsid w:val="00793ED0"/>
    <w:rsid w:val="0079574A"/>
    <w:rsid w:val="00796B6A"/>
    <w:rsid w:val="00797F37"/>
    <w:rsid w:val="007A00F0"/>
    <w:rsid w:val="007A05B1"/>
    <w:rsid w:val="007A0622"/>
    <w:rsid w:val="007A071A"/>
    <w:rsid w:val="007A1202"/>
    <w:rsid w:val="007A1793"/>
    <w:rsid w:val="007A1A7E"/>
    <w:rsid w:val="007A228E"/>
    <w:rsid w:val="007A2688"/>
    <w:rsid w:val="007A2CB6"/>
    <w:rsid w:val="007A501F"/>
    <w:rsid w:val="007A7240"/>
    <w:rsid w:val="007A73C1"/>
    <w:rsid w:val="007B030A"/>
    <w:rsid w:val="007B1E4F"/>
    <w:rsid w:val="007B2AD9"/>
    <w:rsid w:val="007B3F1E"/>
    <w:rsid w:val="007B5A0F"/>
    <w:rsid w:val="007B670E"/>
    <w:rsid w:val="007B6779"/>
    <w:rsid w:val="007B6937"/>
    <w:rsid w:val="007C067A"/>
    <w:rsid w:val="007C0E27"/>
    <w:rsid w:val="007C10AF"/>
    <w:rsid w:val="007C1BD8"/>
    <w:rsid w:val="007C1E87"/>
    <w:rsid w:val="007C28E2"/>
    <w:rsid w:val="007C30BC"/>
    <w:rsid w:val="007C59B1"/>
    <w:rsid w:val="007C61EC"/>
    <w:rsid w:val="007C67A6"/>
    <w:rsid w:val="007C7C22"/>
    <w:rsid w:val="007C7C78"/>
    <w:rsid w:val="007D0432"/>
    <w:rsid w:val="007D0CDA"/>
    <w:rsid w:val="007D0D4B"/>
    <w:rsid w:val="007D155D"/>
    <w:rsid w:val="007D280E"/>
    <w:rsid w:val="007D3A6C"/>
    <w:rsid w:val="007D588F"/>
    <w:rsid w:val="007D5AE6"/>
    <w:rsid w:val="007D6462"/>
    <w:rsid w:val="007D67B9"/>
    <w:rsid w:val="007D6E88"/>
    <w:rsid w:val="007D7605"/>
    <w:rsid w:val="007D7FFC"/>
    <w:rsid w:val="007E0FBE"/>
    <w:rsid w:val="007E14C8"/>
    <w:rsid w:val="007E3534"/>
    <w:rsid w:val="007E43A2"/>
    <w:rsid w:val="007E4755"/>
    <w:rsid w:val="007E4852"/>
    <w:rsid w:val="007E5695"/>
    <w:rsid w:val="007E61F4"/>
    <w:rsid w:val="007E6A54"/>
    <w:rsid w:val="007F2904"/>
    <w:rsid w:val="007F2958"/>
    <w:rsid w:val="007F2E60"/>
    <w:rsid w:val="007F4395"/>
    <w:rsid w:val="007F4664"/>
    <w:rsid w:val="007F4AF8"/>
    <w:rsid w:val="007F5476"/>
    <w:rsid w:val="007F562C"/>
    <w:rsid w:val="007F57AB"/>
    <w:rsid w:val="007F5FBA"/>
    <w:rsid w:val="007F66FE"/>
    <w:rsid w:val="007F78B5"/>
    <w:rsid w:val="007F78F6"/>
    <w:rsid w:val="00800427"/>
    <w:rsid w:val="00801CDC"/>
    <w:rsid w:val="008034D7"/>
    <w:rsid w:val="00803595"/>
    <w:rsid w:val="00804404"/>
    <w:rsid w:val="00804407"/>
    <w:rsid w:val="00804B86"/>
    <w:rsid w:val="00804FC7"/>
    <w:rsid w:val="0080556F"/>
    <w:rsid w:val="00805FBB"/>
    <w:rsid w:val="0080606C"/>
    <w:rsid w:val="008061DD"/>
    <w:rsid w:val="008067D6"/>
    <w:rsid w:val="00807680"/>
    <w:rsid w:val="00807A41"/>
    <w:rsid w:val="00807FF3"/>
    <w:rsid w:val="00811BED"/>
    <w:rsid w:val="00811FA6"/>
    <w:rsid w:val="00814606"/>
    <w:rsid w:val="008146C9"/>
    <w:rsid w:val="0081479F"/>
    <w:rsid w:val="00815D07"/>
    <w:rsid w:val="0081674C"/>
    <w:rsid w:val="00816BD4"/>
    <w:rsid w:val="008219E3"/>
    <w:rsid w:val="00822293"/>
    <w:rsid w:val="00822961"/>
    <w:rsid w:val="00822FB0"/>
    <w:rsid w:val="00824A1A"/>
    <w:rsid w:val="00824AFF"/>
    <w:rsid w:val="00824CAC"/>
    <w:rsid w:val="00824D4B"/>
    <w:rsid w:val="00824D5B"/>
    <w:rsid w:val="008257DB"/>
    <w:rsid w:val="00825FC6"/>
    <w:rsid w:val="008261B1"/>
    <w:rsid w:val="008276C3"/>
    <w:rsid w:val="00827C37"/>
    <w:rsid w:val="00830956"/>
    <w:rsid w:val="00830AA0"/>
    <w:rsid w:val="00831CEF"/>
    <w:rsid w:val="00832DF0"/>
    <w:rsid w:val="00833813"/>
    <w:rsid w:val="00833F8E"/>
    <w:rsid w:val="0083671D"/>
    <w:rsid w:val="00836B35"/>
    <w:rsid w:val="008408B3"/>
    <w:rsid w:val="00840A0B"/>
    <w:rsid w:val="0084235E"/>
    <w:rsid w:val="008429E4"/>
    <w:rsid w:val="008434BC"/>
    <w:rsid w:val="00843B8B"/>
    <w:rsid w:val="008441F9"/>
    <w:rsid w:val="0084588A"/>
    <w:rsid w:val="0084667E"/>
    <w:rsid w:val="008467CD"/>
    <w:rsid w:val="008500D7"/>
    <w:rsid w:val="008508A3"/>
    <w:rsid w:val="008516E2"/>
    <w:rsid w:val="00852BBB"/>
    <w:rsid w:val="008537E2"/>
    <w:rsid w:val="00854390"/>
    <w:rsid w:val="0085595B"/>
    <w:rsid w:val="00856BAA"/>
    <w:rsid w:val="0085753C"/>
    <w:rsid w:val="0085771E"/>
    <w:rsid w:val="008578FC"/>
    <w:rsid w:val="00860246"/>
    <w:rsid w:val="00860C27"/>
    <w:rsid w:val="00861211"/>
    <w:rsid w:val="008619E1"/>
    <w:rsid w:val="00862049"/>
    <w:rsid w:val="00862547"/>
    <w:rsid w:val="00862E7F"/>
    <w:rsid w:val="00863B70"/>
    <w:rsid w:val="00864931"/>
    <w:rsid w:val="00864DC8"/>
    <w:rsid w:val="008657B4"/>
    <w:rsid w:val="00867133"/>
    <w:rsid w:val="008678A8"/>
    <w:rsid w:val="00867B51"/>
    <w:rsid w:val="00870BF3"/>
    <w:rsid w:val="00870D97"/>
    <w:rsid w:val="008710D5"/>
    <w:rsid w:val="00872666"/>
    <w:rsid w:val="00873CEB"/>
    <w:rsid w:val="0087477D"/>
    <w:rsid w:val="008749FB"/>
    <w:rsid w:val="00874CB1"/>
    <w:rsid w:val="0087500E"/>
    <w:rsid w:val="00875BDF"/>
    <w:rsid w:val="0088135D"/>
    <w:rsid w:val="00881F5B"/>
    <w:rsid w:val="008820A3"/>
    <w:rsid w:val="0088228C"/>
    <w:rsid w:val="00882F11"/>
    <w:rsid w:val="008832F4"/>
    <w:rsid w:val="00884BE8"/>
    <w:rsid w:val="0088799F"/>
    <w:rsid w:val="00887A60"/>
    <w:rsid w:val="00887EE3"/>
    <w:rsid w:val="0089110A"/>
    <w:rsid w:val="008913F0"/>
    <w:rsid w:val="008914F0"/>
    <w:rsid w:val="0089301D"/>
    <w:rsid w:val="008934C6"/>
    <w:rsid w:val="0089551C"/>
    <w:rsid w:val="008956A5"/>
    <w:rsid w:val="00895CD3"/>
    <w:rsid w:val="008969E1"/>
    <w:rsid w:val="008975B4"/>
    <w:rsid w:val="008975C0"/>
    <w:rsid w:val="008976A0"/>
    <w:rsid w:val="0089785B"/>
    <w:rsid w:val="008A0A68"/>
    <w:rsid w:val="008A1985"/>
    <w:rsid w:val="008A1F8D"/>
    <w:rsid w:val="008A21F6"/>
    <w:rsid w:val="008A35AB"/>
    <w:rsid w:val="008A49B6"/>
    <w:rsid w:val="008A4AB3"/>
    <w:rsid w:val="008A4F4B"/>
    <w:rsid w:val="008A569C"/>
    <w:rsid w:val="008A6356"/>
    <w:rsid w:val="008A7322"/>
    <w:rsid w:val="008A7978"/>
    <w:rsid w:val="008B070D"/>
    <w:rsid w:val="008B0C14"/>
    <w:rsid w:val="008B0CE7"/>
    <w:rsid w:val="008B3565"/>
    <w:rsid w:val="008B3B11"/>
    <w:rsid w:val="008B480B"/>
    <w:rsid w:val="008B4EEC"/>
    <w:rsid w:val="008B5479"/>
    <w:rsid w:val="008B58A7"/>
    <w:rsid w:val="008B6282"/>
    <w:rsid w:val="008B6871"/>
    <w:rsid w:val="008B6BF5"/>
    <w:rsid w:val="008C035B"/>
    <w:rsid w:val="008C0B0B"/>
    <w:rsid w:val="008C0D76"/>
    <w:rsid w:val="008C1239"/>
    <w:rsid w:val="008C1B8E"/>
    <w:rsid w:val="008C250F"/>
    <w:rsid w:val="008C2CCC"/>
    <w:rsid w:val="008C3B4E"/>
    <w:rsid w:val="008C47E1"/>
    <w:rsid w:val="008C4B2D"/>
    <w:rsid w:val="008C4DA4"/>
    <w:rsid w:val="008C6B21"/>
    <w:rsid w:val="008C7D7C"/>
    <w:rsid w:val="008D0291"/>
    <w:rsid w:val="008D0C8C"/>
    <w:rsid w:val="008D0CCF"/>
    <w:rsid w:val="008D16E0"/>
    <w:rsid w:val="008D4020"/>
    <w:rsid w:val="008D425B"/>
    <w:rsid w:val="008D5EE9"/>
    <w:rsid w:val="008D771D"/>
    <w:rsid w:val="008E017E"/>
    <w:rsid w:val="008E0812"/>
    <w:rsid w:val="008E21A9"/>
    <w:rsid w:val="008E3096"/>
    <w:rsid w:val="008E456F"/>
    <w:rsid w:val="008E4842"/>
    <w:rsid w:val="008E4BB0"/>
    <w:rsid w:val="008E52FF"/>
    <w:rsid w:val="008E6A95"/>
    <w:rsid w:val="008E72DD"/>
    <w:rsid w:val="008E741D"/>
    <w:rsid w:val="008E7E7F"/>
    <w:rsid w:val="008F0026"/>
    <w:rsid w:val="008F052D"/>
    <w:rsid w:val="008F0BB9"/>
    <w:rsid w:val="008F160E"/>
    <w:rsid w:val="008F24AE"/>
    <w:rsid w:val="008F2549"/>
    <w:rsid w:val="008F4234"/>
    <w:rsid w:val="008F528C"/>
    <w:rsid w:val="008F54BA"/>
    <w:rsid w:val="008F59F3"/>
    <w:rsid w:val="008F6178"/>
    <w:rsid w:val="008F640A"/>
    <w:rsid w:val="008F6962"/>
    <w:rsid w:val="008F6BE0"/>
    <w:rsid w:val="008F7F87"/>
    <w:rsid w:val="00900791"/>
    <w:rsid w:val="00901A8A"/>
    <w:rsid w:val="00902644"/>
    <w:rsid w:val="00902F9C"/>
    <w:rsid w:val="0090327D"/>
    <w:rsid w:val="00903280"/>
    <w:rsid w:val="00903973"/>
    <w:rsid w:val="00903A19"/>
    <w:rsid w:val="009044CA"/>
    <w:rsid w:val="009044F2"/>
    <w:rsid w:val="009046DF"/>
    <w:rsid w:val="009060AB"/>
    <w:rsid w:val="0090653F"/>
    <w:rsid w:val="00910E70"/>
    <w:rsid w:val="00911193"/>
    <w:rsid w:val="00912BF1"/>
    <w:rsid w:val="00913710"/>
    <w:rsid w:val="00913BC7"/>
    <w:rsid w:val="0091403F"/>
    <w:rsid w:val="00914F7E"/>
    <w:rsid w:val="00915E2A"/>
    <w:rsid w:val="009205CD"/>
    <w:rsid w:val="00921F70"/>
    <w:rsid w:val="00921F8A"/>
    <w:rsid w:val="00922189"/>
    <w:rsid w:val="009238D0"/>
    <w:rsid w:val="00923A97"/>
    <w:rsid w:val="009246C8"/>
    <w:rsid w:val="0092562B"/>
    <w:rsid w:val="00925B1D"/>
    <w:rsid w:val="00925CA8"/>
    <w:rsid w:val="009270D5"/>
    <w:rsid w:val="009272A1"/>
    <w:rsid w:val="00927D50"/>
    <w:rsid w:val="00927F12"/>
    <w:rsid w:val="00930A02"/>
    <w:rsid w:val="00930A0B"/>
    <w:rsid w:val="009318AA"/>
    <w:rsid w:val="00931CC4"/>
    <w:rsid w:val="009325DE"/>
    <w:rsid w:val="009331D3"/>
    <w:rsid w:val="00934231"/>
    <w:rsid w:val="0093428A"/>
    <w:rsid w:val="00934A84"/>
    <w:rsid w:val="0093536B"/>
    <w:rsid w:val="00935422"/>
    <w:rsid w:val="00935483"/>
    <w:rsid w:val="00935D35"/>
    <w:rsid w:val="009369FB"/>
    <w:rsid w:val="00937267"/>
    <w:rsid w:val="0093726F"/>
    <w:rsid w:val="00937477"/>
    <w:rsid w:val="00937877"/>
    <w:rsid w:val="00937CF9"/>
    <w:rsid w:val="009418C0"/>
    <w:rsid w:val="00941B75"/>
    <w:rsid w:val="00942F21"/>
    <w:rsid w:val="00945302"/>
    <w:rsid w:val="00945345"/>
    <w:rsid w:val="009467B7"/>
    <w:rsid w:val="0094768B"/>
    <w:rsid w:val="0094791A"/>
    <w:rsid w:val="009479A6"/>
    <w:rsid w:val="00947F76"/>
    <w:rsid w:val="0095335D"/>
    <w:rsid w:val="00954087"/>
    <w:rsid w:val="0095426C"/>
    <w:rsid w:val="00954A03"/>
    <w:rsid w:val="00955553"/>
    <w:rsid w:val="00955A37"/>
    <w:rsid w:val="00956D8E"/>
    <w:rsid w:val="00960108"/>
    <w:rsid w:val="009618A1"/>
    <w:rsid w:val="0096199D"/>
    <w:rsid w:val="00961ACE"/>
    <w:rsid w:val="009632F6"/>
    <w:rsid w:val="009634F5"/>
    <w:rsid w:val="00963940"/>
    <w:rsid w:val="00965046"/>
    <w:rsid w:val="00965099"/>
    <w:rsid w:val="009655DC"/>
    <w:rsid w:val="00965CF4"/>
    <w:rsid w:val="00965EBC"/>
    <w:rsid w:val="009666E1"/>
    <w:rsid w:val="00966D3C"/>
    <w:rsid w:val="00967D2C"/>
    <w:rsid w:val="0097384F"/>
    <w:rsid w:val="00974E43"/>
    <w:rsid w:val="009757EC"/>
    <w:rsid w:val="00976562"/>
    <w:rsid w:val="009777D0"/>
    <w:rsid w:val="00980832"/>
    <w:rsid w:val="00981659"/>
    <w:rsid w:val="00981ED3"/>
    <w:rsid w:val="00981F44"/>
    <w:rsid w:val="0098269C"/>
    <w:rsid w:val="00982A9B"/>
    <w:rsid w:val="00983432"/>
    <w:rsid w:val="00983788"/>
    <w:rsid w:val="00984771"/>
    <w:rsid w:val="00985E03"/>
    <w:rsid w:val="00987F05"/>
    <w:rsid w:val="009923CF"/>
    <w:rsid w:val="00993428"/>
    <w:rsid w:val="00993726"/>
    <w:rsid w:val="0099493C"/>
    <w:rsid w:val="00994EE4"/>
    <w:rsid w:val="00995C79"/>
    <w:rsid w:val="009A088F"/>
    <w:rsid w:val="009A23FA"/>
    <w:rsid w:val="009A2559"/>
    <w:rsid w:val="009A2B68"/>
    <w:rsid w:val="009A411F"/>
    <w:rsid w:val="009A4CF2"/>
    <w:rsid w:val="009A5861"/>
    <w:rsid w:val="009A5D31"/>
    <w:rsid w:val="009A5FF4"/>
    <w:rsid w:val="009A6ED3"/>
    <w:rsid w:val="009A7AD1"/>
    <w:rsid w:val="009B3A5E"/>
    <w:rsid w:val="009B3C2D"/>
    <w:rsid w:val="009B49F8"/>
    <w:rsid w:val="009B6359"/>
    <w:rsid w:val="009B6CE4"/>
    <w:rsid w:val="009B6F0C"/>
    <w:rsid w:val="009C0167"/>
    <w:rsid w:val="009C0424"/>
    <w:rsid w:val="009C0A38"/>
    <w:rsid w:val="009C1C6E"/>
    <w:rsid w:val="009C1FB9"/>
    <w:rsid w:val="009C2392"/>
    <w:rsid w:val="009C315C"/>
    <w:rsid w:val="009C38C9"/>
    <w:rsid w:val="009C3EB7"/>
    <w:rsid w:val="009C4F9B"/>
    <w:rsid w:val="009C5394"/>
    <w:rsid w:val="009C57F5"/>
    <w:rsid w:val="009C5C59"/>
    <w:rsid w:val="009C5CDB"/>
    <w:rsid w:val="009C65F1"/>
    <w:rsid w:val="009D11AB"/>
    <w:rsid w:val="009D14F0"/>
    <w:rsid w:val="009D40A7"/>
    <w:rsid w:val="009D4416"/>
    <w:rsid w:val="009D45F6"/>
    <w:rsid w:val="009D48A7"/>
    <w:rsid w:val="009D4CAE"/>
    <w:rsid w:val="009D5527"/>
    <w:rsid w:val="009D5D6A"/>
    <w:rsid w:val="009D67E2"/>
    <w:rsid w:val="009D6A26"/>
    <w:rsid w:val="009E04B4"/>
    <w:rsid w:val="009E1320"/>
    <w:rsid w:val="009E1EA1"/>
    <w:rsid w:val="009E2A74"/>
    <w:rsid w:val="009E2F93"/>
    <w:rsid w:val="009E4785"/>
    <w:rsid w:val="009E5827"/>
    <w:rsid w:val="009E615C"/>
    <w:rsid w:val="009E762D"/>
    <w:rsid w:val="009F23EA"/>
    <w:rsid w:val="009F2C90"/>
    <w:rsid w:val="009F2CB6"/>
    <w:rsid w:val="009F475A"/>
    <w:rsid w:val="009F4A71"/>
    <w:rsid w:val="009F698C"/>
    <w:rsid w:val="009F71BF"/>
    <w:rsid w:val="00A003B5"/>
    <w:rsid w:val="00A00D15"/>
    <w:rsid w:val="00A00D99"/>
    <w:rsid w:val="00A01522"/>
    <w:rsid w:val="00A01839"/>
    <w:rsid w:val="00A01D11"/>
    <w:rsid w:val="00A0264F"/>
    <w:rsid w:val="00A04121"/>
    <w:rsid w:val="00A056EA"/>
    <w:rsid w:val="00A05785"/>
    <w:rsid w:val="00A05D64"/>
    <w:rsid w:val="00A066FC"/>
    <w:rsid w:val="00A06A79"/>
    <w:rsid w:val="00A07009"/>
    <w:rsid w:val="00A0720E"/>
    <w:rsid w:val="00A10A49"/>
    <w:rsid w:val="00A1213B"/>
    <w:rsid w:val="00A12256"/>
    <w:rsid w:val="00A1288B"/>
    <w:rsid w:val="00A1395A"/>
    <w:rsid w:val="00A13FAE"/>
    <w:rsid w:val="00A14CD9"/>
    <w:rsid w:val="00A155D2"/>
    <w:rsid w:val="00A15750"/>
    <w:rsid w:val="00A15868"/>
    <w:rsid w:val="00A16A48"/>
    <w:rsid w:val="00A177A1"/>
    <w:rsid w:val="00A17FE0"/>
    <w:rsid w:val="00A2053D"/>
    <w:rsid w:val="00A2069B"/>
    <w:rsid w:val="00A209A8"/>
    <w:rsid w:val="00A221A6"/>
    <w:rsid w:val="00A224BC"/>
    <w:rsid w:val="00A229E9"/>
    <w:rsid w:val="00A24065"/>
    <w:rsid w:val="00A2428C"/>
    <w:rsid w:val="00A268F7"/>
    <w:rsid w:val="00A2761B"/>
    <w:rsid w:val="00A3028D"/>
    <w:rsid w:val="00A3059F"/>
    <w:rsid w:val="00A305A7"/>
    <w:rsid w:val="00A31822"/>
    <w:rsid w:val="00A31C8C"/>
    <w:rsid w:val="00A32C82"/>
    <w:rsid w:val="00A32D85"/>
    <w:rsid w:val="00A342ED"/>
    <w:rsid w:val="00A35A8F"/>
    <w:rsid w:val="00A35D6F"/>
    <w:rsid w:val="00A36A64"/>
    <w:rsid w:val="00A36BA8"/>
    <w:rsid w:val="00A37752"/>
    <w:rsid w:val="00A37F1E"/>
    <w:rsid w:val="00A41513"/>
    <w:rsid w:val="00A41C98"/>
    <w:rsid w:val="00A41E2A"/>
    <w:rsid w:val="00A41F79"/>
    <w:rsid w:val="00A42905"/>
    <w:rsid w:val="00A436DD"/>
    <w:rsid w:val="00A43847"/>
    <w:rsid w:val="00A43B37"/>
    <w:rsid w:val="00A44304"/>
    <w:rsid w:val="00A44551"/>
    <w:rsid w:val="00A44C3D"/>
    <w:rsid w:val="00A455E3"/>
    <w:rsid w:val="00A45A85"/>
    <w:rsid w:val="00A45C52"/>
    <w:rsid w:val="00A4648D"/>
    <w:rsid w:val="00A471B9"/>
    <w:rsid w:val="00A475A3"/>
    <w:rsid w:val="00A477A6"/>
    <w:rsid w:val="00A47810"/>
    <w:rsid w:val="00A5108A"/>
    <w:rsid w:val="00A516FB"/>
    <w:rsid w:val="00A526E0"/>
    <w:rsid w:val="00A52780"/>
    <w:rsid w:val="00A52E45"/>
    <w:rsid w:val="00A531C5"/>
    <w:rsid w:val="00A534E2"/>
    <w:rsid w:val="00A53724"/>
    <w:rsid w:val="00A54181"/>
    <w:rsid w:val="00A548D4"/>
    <w:rsid w:val="00A54E38"/>
    <w:rsid w:val="00A56218"/>
    <w:rsid w:val="00A57302"/>
    <w:rsid w:val="00A6007E"/>
    <w:rsid w:val="00A6053F"/>
    <w:rsid w:val="00A6057F"/>
    <w:rsid w:val="00A61565"/>
    <w:rsid w:val="00A61808"/>
    <w:rsid w:val="00A6188F"/>
    <w:rsid w:val="00A6226B"/>
    <w:rsid w:val="00A63ABE"/>
    <w:rsid w:val="00A6458D"/>
    <w:rsid w:val="00A6635B"/>
    <w:rsid w:val="00A7123D"/>
    <w:rsid w:val="00A7230A"/>
    <w:rsid w:val="00A733CC"/>
    <w:rsid w:val="00A7353F"/>
    <w:rsid w:val="00A75963"/>
    <w:rsid w:val="00A76129"/>
    <w:rsid w:val="00A7658E"/>
    <w:rsid w:val="00A76C23"/>
    <w:rsid w:val="00A771C0"/>
    <w:rsid w:val="00A777D4"/>
    <w:rsid w:val="00A80523"/>
    <w:rsid w:val="00A80A41"/>
    <w:rsid w:val="00A82518"/>
    <w:rsid w:val="00A8279F"/>
    <w:rsid w:val="00A827BD"/>
    <w:rsid w:val="00A8355E"/>
    <w:rsid w:val="00A839C7"/>
    <w:rsid w:val="00A84271"/>
    <w:rsid w:val="00A84EA0"/>
    <w:rsid w:val="00A85B09"/>
    <w:rsid w:val="00A86394"/>
    <w:rsid w:val="00A87097"/>
    <w:rsid w:val="00A87A29"/>
    <w:rsid w:val="00A87EEC"/>
    <w:rsid w:val="00A90A52"/>
    <w:rsid w:val="00A9313D"/>
    <w:rsid w:val="00A955F6"/>
    <w:rsid w:val="00A95B43"/>
    <w:rsid w:val="00A9601F"/>
    <w:rsid w:val="00A96D84"/>
    <w:rsid w:val="00A96DAA"/>
    <w:rsid w:val="00A9777B"/>
    <w:rsid w:val="00AA043E"/>
    <w:rsid w:val="00AA0447"/>
    <w:rsid w:val="00AA10A8"/>
    <w:rsid w:val="00AA2467"/>
    <w:rsid w:val="00AA4105"/>
    <w:rsid w:val="00AA47D3"/>
    <w:rsid w:val="00AA6274"/>
    <w:rsid w:val="00AA64A7"/>
    <w:rsid w:val="00AA660F"/>
    <w:rsid w:val="00AA67B0"/>
    <w:rsid w:val="00AA696C"/>
    <w:rsid w:val="00AA7327"/>
    <w:rsid w:val="00AB0485"/>
    <w:rsid w:val="00AB06B4"/>
    <w:rsid w:val="00AB06DB"/>
    <w:rsid w:val="00AB14FF"/>
    <w:rsid w:val="00AB1607"/>
    <w:rsid w:val="00AB1910"/>
    <w:rsid w:val="00AB2D17"/>
    <w:rsid w:val="00AB33DA"/>
    <w:rsid w:val="00AB3D87"/>
    <w:rsid w:val="00AB595C"/>
    <w:rsid w:val="00AC02BE"/>
    <w:rsid w:val="00AC1971"/>
    <w:rsid w:val="00AC1CE8"/>
    <w:rsid w:val="00AC1F4E"/>
    <w:rsid w:val="00AC3075"/>
    <w:rsid w:val="00AC3184"/>
    <w:rsid w:val="00AC330F"/>
    <w:rsid w:val="00AC39D4"/>
    <w:rsid w:val="00AC3B63"/>
    <w:rsid w:val="00AC4685"/>
    <w:rsid w:val="00AC5AAD"/>
    <w:rsid w:val="00AC5DD8"/>
    <w:rsid w:val="00AC6DB5"/>
    <w:rsid w:val="00AC733B"/>
    <w:rsid w:val="00AC73EA"/>
    <w:rsid w:val="00AC7E78"/>
    <w:rsid w:val="00AD042D"/>
    <w:rsid w:val="00AD18D1"/>
    <w:rsid w:val="00AD18D3"/>
    <w:rsid w:val="00AD24C6"/>
    <w:rsid w:val="00AD2C74"/>
    <w:rsid w:val="00AD32D4"/>
    <w:rsid w:val="00AD3AD0"/>
    <w:rsid w:val="00AD3C68"/>
    <w:rsid w:val="00AD3D5F"/>
    <w:rsid w:val="00AD44AD"/>
    <w:rsid w:val="00AD517C"/>
    <w:rsid w:val="00AD53EF"/>
    <w:rsid w:val="00AD5DF4"/>
    <w:rsid w:val="00AD683E"/>
    <w:rsid w:val="00AD6A9C"/>
    <w:rsid w:val="00AE027D"/>
    <w:rsid w:val="00AE0CBE"/>
    <w:rsid w:val="00AE2848"/>
    <w:rsid w:val="00AE3BD4"/>
    <w:rsid w:val="00AE3D66"/>
    <w:rsid w:val="00AE4BB2"/>
    <w:rsid w:val="00AE4C84"/>
    <w:rsid w:val="00AE6069"/>
    <w:rsid w:val="00AE79AB"/>
    <w:rsid w:val="00AE7B88"/>
    <w:rsid w:val="00AE7D23"/>
    <w:rsid w:val="00AF001C"/>
    <w:rsid w:val="00AF14D7"/>
    <w:rsid w:val="00AF2304"/>
    <w:rsid w:val="00AF3844"/>
    <w:rsid w:val="00AF5877"/>
    <w:rsid w:val="00AF5BF8"/>
    <w:rsid w:val="00AF5D5A"/>
    <w:rsid w:val="00AF6874"/>
    <w:rsid w:val="00B007D8"/>
    <w:rsid w:val="00B00A20"/>
    <w:rsid w:val="00B00EEC"/>
    <w:rsid w:val="00B012B7"/>
    <w:rsid w:val="00B0146A"/>
    <w:rsid w:val="00B0199A"/>
    <w:rsid w:val="00B0396B"/>
    <w:rsid w:val="00B048A9"/>
    <w:rsid w:val="00B05008"/>
    <w:rsid w:val="00B0505C"/>
    <w:rsid w:val="00B05933"/>
    <w:rsid w:val="00B05D23"/>
    <w:rsid w:val="00B0607A"/>
    <w:rsid w:val="00B06B33"/>
    <w:rsid w:val="00B10250"/>
    <w:rsid w:val="00B1058A"/>
    <w:rsid w:val="00B10CAE"/>
    <w:rsid w:val="00B10FF5"/>
    <w:rsid w:val="00B11BDA"/>
    <w:rsid w:val="00B11FC1"/>
    <w:rsid w:val="00B1441F"/>
    <w:rsid w:val="00B14CAB"/>
    <w:rsid w:val="00B159EA"/>
    <w:rsid w:val="00B165BC"/>
    <w:rsid w:val="00B168B8"/>
    <w:rsid w:val="00B17099"/>
    <w:rsid w:val="00B17C94"/>
    <w:rsid w:val="00B2041E"/>
    <w:rsid w:val="00B20613"/>
    <w:rsid w:val="00B20C46"/>
    <w:rsid w:val="00B21668"/>
    <w:rsid w:val="00B2222B"/>
    <w:rsid w:val="00B225C7"/>
    <w:rsid w:val="00B22C6E"/>
    <w:rsid w:val="00B245E5"/>
    <w:rsid w:val="00B24AF1"/>
    <w:rsid w:val="00B25EEB"/>
    <w:rsid w:val="00B2621B"/>
    <w:rsid w:val="00B2695A"/>
    <w:rsid w:val="00B26DA7"/>
    <w:rsid w:val="00B27105"/>
    <w:rsid w:val="00B303D4"/>
    <w:rsid w:val="00B31A9D"/>
    <w:rsid w:val="00B32A53"/>
    <w:rsid w:val="00B32C09"/>
    <w:rsid w:val="00B32EF4"/>
    <w:rsid w:val="00B3362C"/>
    <w:rsid w:val="00B33F7B"/>
    <w:rsid w:val="00B342F5"/>
    <w:rsid w:val="00B362E8"/>
    <w:rsid w:val="00B3643E"/>
    <w:rsid w:val="00B36AE2"/>
    <w:rsid w:val="00B37545"/>
    <w:rsid w:val="00B37B38"/>
    <w:rsid w:val="00B40A2F"/>
    <w:rsid w:val="00B40DF5"/>
    <w:rsid w:val="00B419C5"/>
    <w:rsid w:val="00B420D1"/>
    <w:rsid w:val="00B42452"/>
    <w:rsid w:val="00B427EB"/>
    <w:rsid w:val="00B42CA3"/>
    <w:rsid w:val="00B42D72"/>
    <w:rsid w:val="00B444B9"/>
    <w:rsid w:val="00B468B3"/>
    <w:rsid w:val="00B469D8"/>
    <w:rsid w:val="00B478F0"/>
    <w:rsid w:val="00B50254"/>
    <w:rsid w:val="00B5147C"/>
    <w:rsid w:val="00B5357F"/>
    <w:rsid w:val="00B556A7"/>
    <w:rsid w:val="00B5627D"/>
    <w:rsid w:val="00B56D3D"/>
    <w:rsid w:val="00B573CD"/>
    <w:rsid w:val="00B57B70"/>
    <w:rsid w:val="00B60494"/>
    <w:rsid w:val="00B620C7"/>
    <w:rsid w:val="00B638F0"/>
    <w:rsid w:val="00B63D35"/>
    <w:rsid w:val="00B63ED4"/>
    <w:rsid w:val="00B64BDA"/>
    <w:rsid w:val="00B66D38"/>
    <w:rsid w:val="00B679DD"/>
    <w:rsid w:val="00B70248"/>
    <w:rsid w:val="00B71580"/>
    <w:rsid w:val="00B7225D"/>
    <w:rsid w:val="00B72D04"/>
    <w:rsid w:val="00B7391E"/>
    <w:rsid w:val="00B7441E"/>
    <w:rsid w:val="00B75CF2"/>
    <w:rsid w:val="00B75D41"/>
    <w:rsid w:val="00B76F37"/>
    <w:rsid w:val="00B7737D"/>
    <w:rsid w:val="00B801DA"/>
    <w:rsid w:val="00B80500"/>
    <w:rsid w:val="00B80652"/>
    <w:rsid w:val="00B82197"/>
    <w:rsid w:val="00B82F05"/>
    <w:rsid w:val="00B82FD7"/>
    <w:rsid w:val="00B83751"/>
    <w:rsid w:val="00B84813"/>
    <w:rsid w:val="00B85580"/>
    <w:rsid w:val="00B85AD4"/>
    <w:rsid w:val="00B86582"/>
    <w:rsid w:val="00B86B06"/>
    <w:rsid w:val="00B86F20"/>
    <w:rsid w:val="00B86F8F"/>
    <w:rsid w:val="00B8762C"/>
    <w:rsid w:val="00B87928"/>
    <w:rsid w:val="00B87F63"/>
    <w:rsid w:val="00B9023F"/>
    <w:rsid w:val="00B92CD1"/>
    <w:rsid w:val="00B936D3"/>
    <w:rsid w:val="00B93FFE"/>
    <w:rsid w:val="00B956E1"/>
    <w:rsid w:val="00B96CDA"/>
    <w:rsid w:val="00B9719C"/>
    <w:rsid w:val="00B97438"/>
    <w:rsid w:val="00B97855"/>
    <w:rsid w:val="00B97A41"/>
    <w:rsid w:val="00BA020B"/>
    <w:rsid w:val="00BA03E3"/>
    <w:rsid w:val="00BA0A3A"/>
    <w:rsid w:val="00BA11F1"/>
    <w:rsid w:val="00BA1558"/>
    <w:rsid w:val="00BA15C7"/>
    <w:rsid w:val="00BA1A59"/>
    <w:rsid w:val="00BA277E"/>
    <w:rsid w:val="00BA4E0C"/>
    <w:rsid w:val="00BA4F85"/>
    <w:rsid w:val="00BA5043"/>
    <w:rsid w:val="00BA5F76"/>
    <w:rsid w:val="00BA7276"/>
    <w:rsid w:val="00BB16D1"/>
    <w:rsid w:val="00BB1987"/>
    <w:rsid w:val="00BB1F58"/>
    <w:rsid w:val="00BB24F3"/>
    <w:rsid w:val="00BB2572"/>
    <w:rsid w:val="00BB2C81"/>
    <w:rsid w:val="00BB39A6"/>
    <w:rsid w:val="00BB4E8A"/>
    <w:rsid w:val="00BB5B41"/>
    <w:rsid w:val="00BB7513"/>
    <w:rsid w:val="00BB7933"/>
    <w:rsid w:val="00BC0701"/>
    <w:rsid w:val="00BC1567"/>
    <w:rsid w:val="00BC1BAD"/>
    <w:rsid w:val="00BC2F1A"/>
    <w:rsid w:val="00BC4A70"/>
    <w:rsid w:val="00BC4AEA"/>
    <w:rsid w:val="00BC5CE5"/>
    <w:rsid w:val="00BC7DEB"/>
    <w:rsid w:val="00BD01A6"/>
    <w:rsid w:val="00BD01ED"/>
    <w:rsid w:val="00BD1A82"/>
    <w:rsid w:val="00BD1D3E"/>
    <w:rsid w:val="00BD28BA"/>
    <w:rsid w:val="00BD2A72"/>
    <w:rsid w:val="00BD3791"/>
    <w:rsid w:val="00BD3DE3"/>
    <w:rsid w:val="00BD4023"/>
    <w:rsid w:val="00BD54F5"/>
    <w:rsid w:val="00BD57CB"/>
    <w:rsid w:val="00BD6E91"/>
    <w:rsid w:val="00BD7505"/>
    <w:rsid w:val="00BD7780"/>
    <w:rsid w:val="00BE2045"/>
    <w:rsid w:val="00BE20E7"/>
    <w:rsid w:val="00BE3C05"/>
    <w:rsid w:val="00BE41D8"/>
    <w:rsid w:val="00BE48C9"/>
    <w:rsid w:val="00BE54AC"/>
    <w:rsid w:val="00BE5A8C"/>
    <w:rsid w:val="00BE5E0E"/>
    <w:rsid w:val="00BE6332"/>
    <w:rsid w:val="00BE6C71"/>
    <w:rsid w:val="00BE6E70"/>
    <w:rsid w:val="00BE7AA3"/>
    <w:rsid w:val="00BF0EF7"/>
    <w:rsid w:val="00BF10E5"/>
    <w:rsid w:val="00BF1955"/>
    <w:rsid w:val="00BF2C35"/>
    <w:rsid w:val="00BF4ED0"/>
    <w:rsid w:val="00BF58BA"/>
    <w:rsid w:val="00BF6617"/>
    <w:rsid w:val="00BF6741"/>
    <w:rsid w:val="00BF722D"/>
    <w:rsid w:val="00C005C0"/>
    <w:rsid w:val="00C0196C"/>
    <w:rsid w:val="00C02DCF"/>
    <w:rsid w:val="00C034C5"/>
    <w:rsid w:val="00C03A69"/>
    <w:rsid w:val="00C04091"/>
    <w:rsid w:val="00C053F3"/>
    <w:rsid w:val="00C054BF"/>
    <w:rsid w:val="00C05969"/>
    <w:rsid w:val="00C05B03"/>
    <w:rsid w:val="00C05E72"/>
    <w:rsid w:val="00C065BC"/>
    <w:rsid w:val="00C075F2"/>
    <w:rsid w:val="00C0763E"/>
    <w:rsid w:val="00C076DD"/>
    <w:rsid w:val="00C130B9"/>
    <w:rsid w:val="00C13A71"/>
    <w:rsid w:val="00C13D78"/>
    <w:rsid w:val="00C14585"/>
    <w:rsid w:val="00C15217"/>
    <w:rsid w:val="00C164F1"/>
    <w:rsid w:val="00C16BA2"/>
    <w:rsid w:val="00C17497"/>
    <w:rsid w:val="00C174A1"/>
    <w:rsid w:val="00C2040B"/>
    <w:rsid w:val="00C2120A"/>
    <w:rsid w:val="00C21FFB"/>
    <w:rsid w:val="00C22464"/>
    <w:rsid w:val="00C22630"/>
    <w:rsid w:val="00C23F2D"/>
    <w:rsid w:val="00C2413C"/>
    <w:rsid w:val="00C242E2"/>
    <w:rsid w:val="00C2439E"/>
    <w:rsid w:val="00C247CF"/>
    <w:rsid w:val="00C2596B"/>
    <w:rsid w:val="00C26C98"/>
    <w:rsid w:val="00C27601"/>
    <w:rsid w:val="00C310D8"/>
    <w:rsid w:val="00C31433"/>
    <w:rsid w:val="00C314D1"/>
    <w:rsid w:val="00C31B2D"/>
    <w:rsid w:val="00C31FBE"/>
    <w:rsid w:val="00C3246F"/>
    <w:rsid w:val="00C32871"/>
    <w:rsid w:val="00C32A71"/>
    <w:rsid w:val="00C32CBE"/>
    <w:rsid w:val="00C33D9B"/>
    <w:rsid w:val="00C34563"/>
    <w:rsid w:val="00C34FAA"/>
    <w:rsid w:val="00C3772B"/>
    <w:rsid w:val="00C37CDE"/>
    <w:rsid w:val="00C404BA"/>
    <w:rsid w:val="00C40887"/>
    <w:rsid w:val="00C41257"/>
    <w:rsid w:val="00C41674"/>
    <w:rsid w:val="00C41889"/>
    <w:rsid w:val="00C41FB0"/>
    <w:rsid w:val="00C42102"/>
    <w:rsid w:val="00C42834"/>
    <w:rsid w:val="00C43589"/>
    <w:rsid w:val="00C43CED"/>
    <w:rsid w:val="00C43E6D"/>
    <w:rsid w:val="00C443EA"/>
    <w:rsid w:val="00C451C8"/>
    <w:rsid w:val="00C46C32"/>
    <w:rsid w:val="00C47611"/>
    <w:rsid w:val="00C47FBB"/>
    <w:rsid w:val="00C50B29"/>
    <w:rsid w:val="00C50E57"/>
    <w:rsid w:val="00C5135C"/>
    <w:rsid w:val="00C513DE"/>
    <w:rsid w:val="00C51EF8"/>
    <w:rsid w:val="00C55038"/>
    <w:rsid w:val="00C566A1"/>
    <w:rsid w:val="00C56B77"/>
    <w:rsid w:val="00C56E58"/>
    <w:rsid w:val="00C56F80"/>
    <w:rsid w:val="00C57482"/>
    <w:rsid w:val="00C57749"/>
    <w:rsid w:val="00C577AC"/>
    <w:rsid w:val="00C6017A"/>
    <w:rsid w:val="00C60295"/>
    <w:rsid w:val="00C606AB"/>
    <w:rsid w:val="00C607D3"/>
    <w:rsid w:val="00C6089D"/>
    <w:rsid w:val="00C6123C"/>
    <w:rsid w:val="00C617BE"/>
    <w:rsid w:val="00C6255A"/>
    <w:rsid w:val="00C62D26"/>
    <w:rsid w:val="00C647CB"/>
    <w:rsid w:val="00C64DBF"/>
    <w:rsid w:val="00C65C59"/>
    <w:rsid w:val="00C66836"/>
    <w:rsid w:val="00C7028C"/>
    <w:rsid w:val="00C70B51"/>
    <w:rsid w:val="00C71794"/>
    <w:rsid w:val="00C72315"/>
    <w:rsid w:val="00C72A06"/>
    <w:rsid w:val="00C737DE"/>
    <w:rsid w:val="00C74E40"/>
    <w:rsid w:val="00C76137"/>
    <w:rsid w:val="00C76637"/>
    <w:rsid w:val="00C777E1"/>
    <w:rsid w:val="00C778FC"/>
    <w:rsid w:val="00C77A8E"/>
    <w:rsid w:val="00C77C56"/>
    <w:rsid w:val="00C80CD5"/>
    <w:rsid w:val="00C8176C"/>
    <w:rsid w:val="00C82188"/>
    <w:rsid w:val="00C827E0"/>
    <w:rsid w:val="00C83CE7"/>
    <w:rsid w:val="00C84236"/>
    <w:rsid w:val="00C84470"/>
    <w:rsid w:val="00C84518"/>
    <w:rsid w:val="00C8486D"/>
    <w:rsid w:val="00C84AFA"/>
    <w:rsid w:val="00C864A0"/>
    <w:rsid w:val="00C877C8"/>
    <w:rsid w:val="00C90FF2"/>
    <w:rsid w:val="00C91938"/>
    <w:rsid w:val="00C91E1C"/>
    <w:rsid w:val="00C922E6"/>
    <w:rsid w:val="00C93C85"/>
    <w:rsid w:val="00C94189"/>
    <w:rsid w:val="00C948DE"/>
    <w:rsid w:val="00C95CF5"/>
    <w:rsid w:val="00C969F9"/>
    <w:rsid w:val="00C96E08"/>
    <w:rsid w:val="00C97512"/>
    <w:rsid w:val="00CA104D"/>
    <w:rsid w:val="00CA11C5"/>
    <w:rsid w:val="00CA11F9"/>
    <w:rsid w:val="00CA2754"/>
    <w:rsid w:val="00CA2D9D"/>
    <w:rsid w:val="00CA4D78"/>
    <w:rsid w:val="00CA5389"/>
    <w:rsid w:val="00CA605E"/>
    <w:rsid w:val="00CA6574"/>
    <w:rsid w:val="00CA7BC9"/>
    <w:rsid w:val="00CB0577"/>
    <w:rsid w:val="00CB0A40"/>
    <w:rsid w:val="00CB0EF2"/>
    <w:rsid w:val="00CB1789"/>
    <w:rsid w:val="00CB2DB2"/>
    <w:rsid w:val="00CB318A"/>
    <w:rsid w:val="00CB6940"/>
    <w:rsid w:val="00CB6A38"/>
    <w:rsid w:val="00CB777B"/>
    <w:rsid w:val="00CC0571"/>
    <w:rsid w:val="00CC209B"/>
    <w:rsid w:val="00CC238F"/>
    <w:rsid w:val="00CC420B"/>
    <w:rsid w:val="00CC4296"/>
    <w:rsid w:val="00CC4A13"/>
    <w:rsid w:val="00CC4C27"/>
    <w:rsid w:val="00CC5DD4"/>
    <w:rsid w:val="00CC6921"/>
    <w:rsid w:val="00CC73E7"/>
    <w:rsid w:val="00CD0960"/>
    <w:rsid w:val="00CD2092"/>
    <w:rsid w:val="00CD493C"/>
    <w:rsid w:val="00CD4B0C"/>
    <w:rsid w:val="00CD4FEC"/>
    <w:rsid w:val="00CD58E4"/>
    <w:rsid w:val="00CD605B"/>
    <w:rsid w:val="00CD7547"/>
    <w:rsid w:val="00CD7D8A"/>
    <w:rsid w:val="00CD7D95"/>
    <w:rsid w:val="00CE0061"/>
    <w:rsid w:val="00CE0865"/>
    <w:rsid w:val="00CE0D91"/>
    <w:rsid w:val="00CE12E7"/>
    <w:rsid w:val="00CE3710"/>
    <w:rsid w:val="00CE46F6"/>
    <w:rsid w:val="00CE4F7D"/>
    <w:rsid w:val="00CE5484"/>
    <w:rsid w:val="00CE5E2D"/>
    <w:rsid w:val="00CE78E9"/>
    <w:rsid w:val="00CE7FDE"/>
    <w:rsid w:val="00CF04FA"/>
    <w:rsid w:val="00CF2EDA"/>
    <w:rsid w:val="00CF3CC7"/>
    <w:rsid w:val="00CF4D9F"/>
    <w:rsid w:val="00CF541E"/>
    <w:rsid w:val="00CF6127"/>
    <w:rsid w:val="00D00889"/>
    <w:rsid w:val="00D021F0"/>
    <w:rsid w:val="00D0267C"/>
    <w:rsid w:val="00D02C0D"/>
    <w:rsid w:val="00D03055"/>
    <w:rsid w:val="00D036C9"/>
    <w:rsid w:val="00D04E17"/>
    <w:rsid w:val="00D054E7"/>
    <w:rsid w:val="00D058AD"/>
    <w:rsid w:val="00D10DB5"/>
    <w:rsid w:val="00D11A78"/>
    <w:rsid w:val="00D11B3A"/>
    <w:rsid w:val="00D12669"/>
    <w:rsid w:val="00D14092"/>
    <w:rsid w:val="00D144A6"/>
    <w:rsid w:val="00D14987"/>
    <w:rsid w:val="00D15217"/>
    <w:rsid w:val="00D156CC"/>
    <w:rsid w:val="00D15979"/>
    <w:rsid w:val="00D164C4"/>
    <w:rsid w:val="00D1652D"/>
    <w:rsid w:val="00D177BF"/>
    <w:rsid w:val="00D17A76"/>
    <w:rsid w:val="00D201BB"/>
    <w:rsid w:val="00D2148A"/>
    <w:rsid w:val="00D21D84"/>
    <w:rsid w:val="00D22D77"/>
    <w:rsid w:val="00D234CA"/>
    <w:rsid w:val="00D23B9D"/>
    <w:rsid w:val="00D2439C"/>
    <w:rsid w:val="00D24AD6"/>
    <w:rsid w:val="00D24EF7"/>
    <w:rsid w:val="00D2643F"/>
    <w:rsid w:val="00D26CA2"/>
    <w:rsid w:val="00D27F14"/>
    <w:rsid w:val="00D300CA"/>
    <w:rsid w:val="00D307A2"/>
    <w:rsid w:val="00D30AB3"/>
    <w:rsid w:val="00D31F9C"/>
    <w:rsid w:val="00D32164"/>
    <w:rsid w:val="00D328F3"/>
    <w:rsid w:val="00D339C4"/>
    <w:rsid w:val="00D33DEF"/>
    <w:rsid w:val="00D34CC9"/>
    <w:rsid w:val="00D3521B"/>
    <w:rsid w:val="00D36336"/>
    <w:rsid w:val="00D405FC"/>
    <w:rsid w:val="00D4085C"/>
    <w:rsid w:val="00D41557"/>
    <w:rsid w:val="00D418AE"/>
    <w:rsid w:val="00D4453C"/>
    <w:rsid w:val="00D44762"/>
    <w:rsid w:val="00D45209"/>
    <w:rsid w:val="00D459B2"/>
    <w:rsid w:val="00D46A57"/>
    <w:rsid w:val="00D47310"/>
    <w:rsid w:val="00D50A33"/>
    <w:rsid w:val="00D51ABC"/>
    <w:rsid w:val="00D51EE0"/>
    <w:rsid w:val="00D52FA4"/>
    <w:rsid w:val="00D531B5"/>
    <w:rsid w:val="00D532A0"/>
    <w:rsid w:val="00D537A6"/>
    <w:rsid w:val="00D54072"/>
    <w:rsid w:val="00D54C29"/>
    <w:rsid w:val="00D54D37"/>
    <w:rsid w:val="00D56562"/>
    <w:rsid w:val="00D56687"/>
    <w:rsid w:val="00D57B6E"/>
    <w:rsid w:val="00D612A8"/>
    <w:rsid w:val="00D61469"/>
    <w:rsid w:val="00D615C0"/>
    <w:rsid w:val="00D62282"/>
    <w:rsid w:val="00D62403"/>
    <w:rsid w:val="00D625FC"/>
    <w:rsid w:val="00D63D81"/>
    <w:rsid w:val="00D64DFB"/>
    <w:rsid w:val="00D654A8"/>
    <w:rsid w:val="00D65BA8"/>
    <w:rsid w:val="00D66FA4"/>
    <w:rsid w:val="00D67209"/>
    <w:rsid w:val="00D70B88"/>
    <w:rsid w:val="00D715AD"/>
    <w:rsid w:val="00D71B10"/>
    <w:rsid w:val="00D71C84"/>
    <w:rsid w:val="00D71E3F"/>
    <w:rsid w:val="00D72816"/>
    <w:rsid w:val="00D73D40"/>
    <w:rsid w:val="00D77782"/>
    <w:rsid w:val="00D77992"/>
    <w:rsid w:val="00D81CD0"/>
    <w:rsid w:val="00D8207F"/>
    <w:rsid w:val="00D823E4"/>
    <w:rsid w:val="00D85AF5"/>
    <w:rsid w:val="00D86FCE"/>
    <w:rsid w:val="00D9012D"/>
    <w:rsid w:val="00D9069C"/>
    <w:rsid w:val="00D9164B"/>
    <w:rsid w:val="00D91BF3"/>
    <w:rsid w:val="00D92614"/>
    <w:rsid w:val="00D9277C"/>
    <w:rsid w:val="00D92963"/>
    <w:rsid w:val="00D92A00"/>
    <w:rsid w:val="00D9346A"/>
    <w:rsid w:val="00D93E09"/>
    <w:rsid w:val="00D95160"/>
    <w:rsid w:val="00D952E4"/>
    <w:rsid w:val="00D96E10"/>
    <w:rsid w:val="00D97333"/>
    <w:rsid w:val="00DA0610"/>
    <w:rsid w:val="00DA0C17"/>
    <w:rsid w:val="00DA0EDA"/>
    <w:rsid w:val="00DA21E6"/>
    <w:rsid w:val="00DA2647"/>
    <w:rsid w:val="00DA31B7"/>
    <w:rsid w:val="00DA33F9"/>
    <w:rsid w:val="00DA44BF"/>
    <w:rsid w:val="00DA4B06"/>
    <w:rsid w:val="00DA5363"/>
    <w:rsid w:val="00DA574C"/>
    <w:rsid w:val="00DA5DBB"/>
    <w:rsid w:val="00DA6C04"/>
    <w:rsid w:val="00DB043D"/>
    <w:rsid w:val="00DB1137"/>
    <w:rsid w:val="00DB217D"/>
    <w:rsid w:val="00DB2FCA"/>
    <w:rsid w:val="00DB3851"/>
    <w:rsid w:val="00DB3A13"/>
    <w:rsid w:val="00DB4DAD"/>
    <w:rsid w:val="00DB4E9D"/>
    <w:rsid w:val="00DB5D03"/>
    <w:rsid w:val="00DB6102"/>
    <w:rsid w:val="00DB69CC"/>
    <w:rsid w:val="00DB77C4"/>
    <w:rsid w:val="00DB7A69"/>
    <w:rsid w:val="00DB7D89"/>
    <w:rsid w:val="00DC02E8"/>
    <w:rsid w:val="00DC0E3E"/>
    <w:rsid w:val="00DC2417"/>
    <w:rsid w:val="00DC26ED"/>
    <w:rsid w:val="00DC2AD1"/>
    <w:rsid w:val="00DC2BB1"/>
    <w:rsid w:val="00DC3D7B"/>
    <w:rsid w:val="00DC43B5"/>
    <w:rsid w:val="00DC49C0"/>
    <w:rsid w:val="00DC4BFC"/>
    <w:rsid w:val="00DC5D54"/>
    <w:rsid w:val="00DC5E43"/>
    <w:rsid w:val="00DC5E93"/>
    <w:rsid w:val="00DC7EEA"/>
    <w:rsid w:val="00DD163E"/>
    <w:rsid w:val="00DD1706"/>
    <w:rsid w:val="00DD202D"/>
    <w:rsid w:val="00DD3056"/>
    <w:rsid w:val="00DD30BB"/>
    <w:rsid w:val="00DD3A0B"/>
    <w:rsid w:val="00DD3E75"/>
    <w:rsid w:val="00DD43A5"/>
    <w:rsid w:val="00DD43AF"/>
    <w:rsid w:val="00DD43DC"/>
    <w:rsid w:val="00DD52BE"/>
    <w:rsid w:val="00DD5439"/>
    <w:rsid w:val="00DD5540"/>
    <w:rsid w:val="00DD55BB"/>
    <w:rsid w:val="00DD64B1"/>
    <w:rsid w:val="00DD7BD6"/>
    <w:rsid w:val="00DE0AC1"/>
    <w:rsid w:val="00DE0BA1"/>
    <w:rsid w:val="00DE1F55"/>
    <w:rsid w:val="00DE24C4"/>
    <w:rsid w:val="00DE2725"/>
    <w:rsid w:val="00DE2778"/>
    <w:rsid w:val="00DE2BD8"/>
    <w:rsid w:val="00DE3066"/>
    <w:rsid w:val="00DE381A"/>
    <w:rsid w:val="00DE3A81"/>
    <w:rsid w:val="00DE4193"/>
    <w:rsid w:val="00DE4DB9"/>
    <w:rsid w:val="00DE5892"/>
    <w:rsid w:val="00DE591C"/>
    <w:rsid w:val="00DE5DA3"/>
    <w:rsid w:val="00DE6792"/>
    <w:rsid w:val="00DE6962"/>
    <w:rsid w:val="00DF0870"/>
    <w:rsid w:val="00DF0C6C"/>
    <w:rsid w:val="00DF1570"/>
    <w:rsid w:val="00DF16E7"/>
    <w:rsid w:val="00DF2AE9"/>
    <w:rsid w:val="00DF3C17"/>
    <w:rsid w:val="00DF435D"/>
    <w:rsid w:val="00DF49F6"/>
    <w:rsid w:val="00DF5584"/>
    <w:rsid w:val="00DF5B78"/>
    <w:rsid w:val="00DF64DF"/>
    <w:rsid w:val="00DF6EFE"/>
    <w:rsid w:val="00DF70C2"/>
    <w:rsid w:val="00DF773D"/>
    <w:rsid w:val="00DF7A38"/>
    <w:rsid w:val="00DF7C1C"/>
    <w:rsid w:val="00E0071F"/>
    <w:rsid w:val="00E00796"/>
    <w:rsid w:val="00E009CD"/>
    <w:rsid w:val="00E00A55"/>
    <w:rsid w:val="00E01799"/>
    <w:rsid w:val="00E0179D"/>
    <w:rsid w:val="00E025C9"/>
    <w:rsid w:val="00E06128"/>
    <w:rsid w:val="00E0687A"/>
    <w:rsid w:val="00E06FFF"/>
    <w:rsid w:val="00E07BF1"/>
    <w:rsid w:val="00E1196E"/>
    <w:rsid w:val="00E11E08"/>
    <w:rsid w:val="00E13EE1"/>
    <w:rsid w:val="00E14D39"/>
    <w:rsid w:val="00E151C4"/>
    <w:rsid w:val="00E1549F"/>
    <w:rsid w:val="00E155B2"/>
    <w:rsid w:val="00E155F1"/>
    <w:rsid w:val="00E1610C"/>
    <w:rsid w:val="00E16757"/>
    <w:rsid w:val="00E177E6"/>
    <w:rsid w:val="00E17EB7"/>
    <w:rsid w:val="00E20538"/>
    <w:rsid w:val="00E212C2"/>
    <w:rsid w:val="00E2167F"/>
    <w:rsid w:val="00E222AC"/>
    <w:rsid w:val="00E222C6"/>
    <w:rsid w:val="00E22326"/>
    <w:rsid w:val="00E22FF6"/>
    <w:rsid w:val="00E243BF"/>
    <w:rsid w:val="00E24806"/>
    <w:rsid w:val="00E24BE5"/>
    <w:rsid w:val="00E25A1D"/>
    <w:rsid w:val="00E26FF7"/>
    <w:rsid w:val="00E31FD0"/>
    <w:rsid w:val="00E323AB"/>
    <w:rsid w:val="00E32445"/>
    <w:rsid w:val="00E32535"/>
    <w:rsid w:val="00E327B7"/>
    <w:rsid w:val="00E33543"/>
    <w:rsid w:val="00E3356F"/>
    <w:rsid w:val="00E34253"/>
    <w:rsid w:val="00E35113"/>
    <w:rsid w:val="00E36515"/>
    <w:rsid w:val="00E36C6C"/>
    <w:rsid w:val="00E371AE"/>
    <w:rsid w:val="00E37D60"/>
    <w:rsid w:val="00E37DEB"/>
    <w:rsid w:val="00E413C2"/>
    <w:rsid w:val="00E41A5E"/>
    <w:rsid w:val="00E43AD7"/>
    <w:rsid w:val="00E4443A"/>
    <w:rsid w:val="00E44777"/>
    <w:rsid w:val="00E44E51"/>
    <w:rsid w:val="00E45F19"/>
    <w:rsid w:val="00E45F90"/>
    <w:rsid w:val="00E46BD2"/>
    <w:rsid w:val="00E46BF9"/>
    <w:rsid w:val="00E4737A"/>
    <w:rsid w:val="00E50306"/>
    <w:rsid w:val="00E5100A"/>
    <w:rsid w:val="00E5202E"/>
    <w:rsid w:val="00E5483E"/>
    <w:rsid w:val="00E553C7"/>
    <w:rsid w:val="00E56028"/>
    <w:rsid w:val="00E568DC"/>
    <w:rsid w:val="00E5701D"/>
    <w:rsid w:val="00E57540"/>
    <w:rsid w:val="00E577B9"/>
    <w:rsid w:val="00E57991"/>
    <w:rsid w:val="00E610ED"/>
    <w:rsid w:val="00E6143B"/>
    <w:rsid w:val="00E61950"/>
    <w:rsid w:val="00E650CE"/>
    <w:rsid w:val="00E669C6"/>
    <w:rsid w:val="00E66A3B"/>
    <w:rsid w:val="00E70BB4"/>
    <w:rsid w:val="00E7134F"/>
    <w:rsid w:val="00E71923"/>
    <w:rsid w:val="00E72411"/>
    <w:rsid w:val="00E729BC"/>
    <w:rsid w:val="00E73F47"/>
    <w:rsid w:val="00E74A7B"/>
    <w:rsid w:val="00E754C3"/>
    <w:rsid w:val="00E757DA"/>
    <w:rsid w:val="00E76157"/>
    <w:rsid w:val="00E77BDF"/>
    <w:rsid w:val="00E77EC9"/>
    <w:rsid w:val="00E80604"/>
    <w:rsid w:val="00E813AC"/>
    <w:rsid w:val="00E83596"/>
    <w:rsid w:val="00E83885"/>
    <w:rsid w:val="00E85367"/>
    <w:rsid w:val="00E85935"/>
    <w:rsid w:val="00E85B7A"/>
    <w:rsid w:val="00E85F7D"/>
    <w:rsid w:val="00E86310"/>
    <w:rsid w:val="00E877E4"/>
    <w:rsid w:val="00E90FE9"/>
    <w:rsid w:val="00E91122"/>
    <w:rsid w:val="00E913EA"/>
    <w:rsid w:val="00E92300"/>
    <w:rsid w:val="00E93237"/>
    <w:rsid w:val="00E93C78"/>
    <w:rsid w:val="00E9445E"/>
    <w:rsid w:val="00E954CB"/>
    <w:rsid w:val="00E95677"/>
    <w:rsid w:val="00E96724"/>
    <w:rsid w:val="00E96BE3"/>
    <w:rsid w:val="00E970EB"/>
    <w:rsid w:val="00E97338"/>
    <w:rsid w:val="00EA222B"/>
    <w:rsid w:val="00EA28C0"/>
    <w:rsid w:val="00EA3199"/>
    <w:rsid w:val="00EA3691"/>
    <w:rsid w:val="00EA3B5F"/>
    <w:rsid w:val="00EA3C7B"/>
    <w:rsid w:val="00EA43F8"/>
    <w:rsid w:val="00EA499D"/>
    <w:rsid w:val="00EA5FB1"/>
    <w:rsid w:val="00EA7631"/>
    <w:rsid w:val="00EB1631"/>
    <w:rsid w:val="00EB1C01"/>
    <w:rsid w:val="00EB2807"/>
    <w:rsid w:val="00EB3A03"/>
    <w:rsid w:val="00EB3C3F"/>
    <w:rsid w:val="00EB3F22"/>
    <w:rsid w:val="00EB455E"/>
    <w:rsid w:val="00EB50AD"/>
    <w:rsid w:val="00EB5A2D"/>
    <w:rsid w:val="00EB78B3"/>
    <w:rsid w:val="00EC08C5"/>
    <w:rsid w:val="00EC0D42"/>
    <w:rsid w:val="00EC1F41"/>
    <w:rsid w:val="00EC2ED2"/>
    <w:rsid w:val="00EC34C3"/>
    <w:rsid w:val="00EC4BCC"/>
    <w:rsid w:val="00EC5025"/>
    <w:rsid w:val="00EC5DE9"/>
    <w:rsid w:val="00EC69ED"/>
    <w:rsid w:val="00EC6B17"/>
    <w:rsid w:val="00EC6E0A"/>
    <w:rsid w:val="00EC6FE9"/>
    <w:rsid w:val="00EC739E"/>
    <w:rsid w:val="00EC7BBD"/>
    <w:rsid w:val="00ED37F7"/>
    <w:rsid w:val="00ED3EDC"/>
    <w:rsid w:val="00ED3FB1"/>
    <w:rsid w:val="00ED49E9"/>
    <w:rsid w:val="00ED5FC5"/>
    <w:rsid w:val="00ED6160"/>
    <w:rsid w:val="00ED6CC4"/>
    <w:rsid w:val="00ED7A83"/>
    <w:rsid w:val="00EE0924"/>
    <w:rsid w:val="00EE1148"/>
    <w:rsid w:val="00EE388D"/>
    <w:rsid w:val="00EE3DCE"/>
    <w:rsid w:val="00EE4591"/>
    <w:rsid w:val="00EE47EE"/>
    <w:rsid w:val="00EE4AD3"/>
    <w:rsid w:val="00EE4B1D"/>
    <w:rsid w:val="00EE546A"/>
    <w:rsid w:val="00EE6E08"/>
    <w:rsid w:val="00EE7733"/>
    <w:rsid w:val="00EF1A42"/>
    <w:rsid w:val="00EF2D90"/>
    <w:rsid w:val="00EF3D3F"/>
    <w:rsid w:val="00EF3E03"/>
    <w:rsid w:val="00EF41BE"/>
    <w:rsid w:val="00EF48D9"/>
    <w:rsid w:val="00EF4C2E"/>
    <w:rsid w:val="00EF5097"/>
    <w:rsid w:val="00EF5AEA"/>
    <w:rsid w:val="00EF7F42"/>
    <w:rsid w:val="00F00EDC"/>
    <w:rsid w:val="00F017FB"/>
    <w:rsid w:val="00F01CA8"/>
    <w:rsid w:val="00F02D6F"/>
    <w:rsid w:val="00F03B4C"/>
    <w:rsid w:val="00F044BB"/>
    <w:rsid w:val="00F05B9F"/>
    <w:rsid w:val="00F069C9"/>
    <w:rsid w:val="00F07D98"/>
    <w:rsid w:val="00F104D9"/>
    <w:rsid w:val="00F1060C"/>
    <w:rsid w:val="00F10DC0"/>
    <w:rsid w:val="00F10F09"/>
    <w:rsid w:val="00F11AE8"/>
    <w:rsid w:val="00F12EF2"/>
    <w:rsid w:val="00F1308A"/>
    <w:rsid w:val="00F1473E"/>
    <w:rsid w:val="00F14DC6"/>
    <w:rsid w:val="00F15F7A"/>
    <w:rsid w:val="00F161D5"/>
    <w:rsid w:val="00F20080"/>
    <w:rsid w:val="00F2020F"/>
    <w:rsid w:val="00F2046D"/>
    <w:rsid w:val="00F20928"/>
    <w:rsid w:val="00F20F30"/>
    <w:rsid w:val="00F2161F"/>
    <w:rsid w:val="00F21A1D"/>
    <w:rsid w:val="00F22A7F"/>
    <w:rsid w:val="00F23B50"/>
    <w:rsid w:val="00F242CC"/>
    <w:rsid w:val="00F24CF3"/>
    <w:rsid w:val="00F251BE"/>
    <w:rsid w:val="00F2586D"/>
    <w:rsid w:val="00F25D6C"/>
    <w:rsid w:val="00F26610"/>
    <w:rsid w:val="00F30E2F"/>
    <w:rsid w:val="00F31194"/>
    <w:rsid w:val="00F3165A"/>
    <w:rsid w:val="00F31A0B"/>
    <w:rsid w:val="00F323DC"/>
    <w:rsid w:val="00F33618"/>
    <w:rsid w:val="00F34638"/>
    <w:rsid w:val="00F34842"/>
    <w:rsid w:val="00F3602D"/>
    <w:rsid w:val="00F36988"/>
    <w:rsid w:val="00F36C67"/>
    <w:rsid w:val="00F372FB"/>
    <w:rsid w:val="00F404DE"/>
    <w:rsid w:val="00F41EA1"/>
    <w:rsid w:val="00F45FD8"/>
    <w:rsid w:val="00F46678"/>
    <w:rsid w:val="00F46BB5"/>
    <w:rsid w:val="00F47558"/>
    <w:rsid w:val="00F52085"/>
    <w:rsid w:val="00F52331"/>
    <w:rsid w:val="00F52380"/>
    <w:rsid w:val="00F52593"/>
    <w:rsid w:val="00F52D96"/>
    <w:rsid w:val="00F53371"/>
    <w:rsid w:val="00F5342D"/>
    <w:rsid w:val="00F542B9"/>
    <w:rsid w:val="00F54A67"/>
    <w:rsid w:val="00F572CF"/>
    <w:rsid w:val="00F6001A"/>
    <w:rsid w:val="00F608D6"/>
    <w:rsid w:val="00F60A7C"/>
    <w:rsid w:val="00F60EEC"/>
    <w:rsid w:val="00F6116C"/>
    <w:rsid w:val="00F61A13"/>
    <w:rsid w:val="00F62A23"/>
    <w:rsid w:val="00F632B0"/>
    <w:rsid w:val="00F63440"/>
    <w:rsid w:val="00F63BBD"/>
    <w:rsid w:val="00F63DF5"/>
    <w:rsid w:val="00F6428A"/>
    <w:rsid w:val="00F644AF"/>
    <w:rsid w:val="00F64664"/>
    <w:rsid w:val="00F64B84"/>
    <w:rsid w:val="00F652C2"/>
    <w:rsid w:val="00F66192"/>
    <w:rsid w:val="00F66B92"/>
    <w:rsid w:val="00F67028"/>
    <w:rsid w:val="00F67766"/>
    <w:rsid w:val="00F7016A"/>
    <w:rsid w:val="00F703EA"/>
    <w:rsid w:val="00F705DA"/>
    <w:rsid w:val="00F70E29"/>
    <w:rsid w:val="00F70E73"/>
    <w:rsid w:val="00F71B08"/>
    <w:rsid w:val="00F7221A"/>
    <w:rsid w:val="00F730CE"/>
    <w:rsid w:val="00F745FB"/>
    <w:rsid w:val="00F74E91"/>
    <w:rsid w:val="00F75877"/>
    <w:rsid w:val="00F76291"/>
    <w:rsid w:val="00F76C1D"/>
    <w:rsid w:val="00F76C48"/>
    <w:rsid w:val="00F7782C"/>
    <w:rsid w:val="00F778A9"/>
    <w:rsid w:val="00F77A96"/>
    <w:rsid w:val="00F808A1"/>
    <w:rsid w:val="00F81786"/>
    <w:rsid w:val="00F8184B"/>
    <w:rsid w:val="00F8191B"/>
    <w:rsid w:val="00F81F78"/>
    <w:rsid w:val="00F8378A"/>
    <w:rsid w:val="00F83947"/>
    <w:rsid w:val="00F85387"/>
    <w:rsid w:val="00F8578F"/>
    <w:rsid w:val="00F85C13"/>
    <w:rsid w:val="00F85E0D"/>
    <w:rsid w:val="00F87557"/>
    <w:rsid w:val="00F87F43"/>
    <w:rsid w:val="00F9052B"/>
    <w:rsid w:val="00F90A9A"/>
    <w:rsid w:val="00F93489"/>
    <w:rsid w:val="00F938A5"/>
    <w:rsid w:val="00F93C80"/>
    <w:rsid w:val="00F94CF8"/>
    <w:rsid w:val="00F9511F"/>
    <w:rsid w:val="00F95BFE"/>
    <w:rsid w:val="00F96D2E"/>
    <w:rsid w:val="00F96EE0"/>
    <w:rsid w:val="00FA16C7"/>
    <w:rsid w:val="00FA1AAF"/>
    <w:rsid w:val="00FA1CB0"/>
    <w:rsid w:val="00FA32D3"/>
    <w:rsid w:val="00FA3804"/>
    <w:rsid w:val="00FA3909"/>
    <w:rsid w:val="00FA63F0"/>
    <w:rsid w:val="00FA6944"/>
    <w:rsid w:val="00FA7A63"/>
    <w:rsid w:val="00FB0C1E"/>
    <w:rsid w:val="00FB0FB8"/>
    <w:rsid w:val="00FB19A2"/>
    <w:rsid w:val="00FB2E00"/>
    <w:rsid w:val="00FB39D9"/>
    <w:rsid w:val="00FB40D4"/>
    <w:rsid w:val="00FB4649"/>
    <w:rsid w:val="00FB48EF"/>
    <w:rsid w:val="00FB4D85"/>
    <w:rsid w:val="00FB4E13"/>
    <w:rsid w:val="00FB4E85"/>
    <w:rsid w:val="00FB6161"/>
    <w:rsid w:val="00FB6747"/>
    <w:rsid w:val="00FB6AF6"/>
    <w:rsid w:val="00FB72BD"/>
    <w:rsid w:val="00FC0050"/>
    <w:rsid w:val="00FC1CE9"/>
    <w:rsid w:val="00FC2236"/>
    <w:rsid w:val="00FC225E"/>
    <w:rsid w:val="00FC3914"/>
    <w:rsid w:val="00FC410F"/>
    <w:rsid w:val="00FC42D6"/>
    <w:rsid w:val="00FC4680"/>
    <w:rsid w:val="00FC4ACB"/>
    <w:rsid w:val="00FC506A"/>
    <w:rsid w:val="00FC5E67"/>
    <w:rsid w:val="00FC723E"/>
    <w:rsid w:val="00FC76FB"/>
    <w:rsid w:val="00FD00E6"/>
    <w:rsid w:val="00FD012C"/>
    <w:rsid w:val="00FD0606"/>
    <w:rsid w:val="00FD1061"/>
    <w:rsid w:val="00FD16D3"/>
    <w:rsid w:val="00FD1CC8"/>
    <w:rsid w:val="00FD1D99"/>
    <w:rsid w:val="00FD1FFA"/>
    <w:rsid w:val="00FD29D8"/>
    <w:rsid w:val="00FD30C2"/>
    <w:rsid w:val="00FD524A"/>
    <w:rsid w:val="00FD54EB"/>
    <w:rsid w:val="00FD5C3D"/>
    <w:rsid w:val="00FD5D53"/>
    <w:rsid w:val="00FD6067"/>
    <w:rsid w:val="00FD64DA"/>
    <w:rsid w:val="00FD6E1F"/>
    <w:rsid w:val="00FD75CC"/>
    <w:rsid w:val="00FE025A"/>
    <w:rsid w:val="00FE08AE"/>
    <w:rsid w:val="00FE0B9B"/>
    <w:rsid w:val="00FE1012"/>
    <w:rsid w:val="00FE12E4"/>
    <w:rsid w:val="00FE3F72"/>
    <w:rsid w:val="00FE4FEB"/>
    <w:rsid w:val="00FE5CDE"/>
    <w:rsid w:val="00FE5D54"/>
    <w:rsid w:val="00FE5E15"/>
    <w:rsid w:val="00FE628D"/>
    <w:rsid w:val="00FE7909"/>
    <w:rsid w:val="00FF1476"/>
    <w:rsid w:val="00FF268C"/>
    <w:rsid w:val="00FF3148"/>
    <w:rsid w:val="00FF3C46"/>
    <w:rsid w:val="00FF5F20"/>
    <w:rsid w:val="00FF640C"/>
    <w:rsid w:val="00FF66E2"/>
    <w:rsid w:val="00FF7056"/>
    <w:rsid w:val="00FF71A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D0BAFD4"/>
  <w15:chartTrackingRefBased/>
  <w15:docId w15:val="{73E191CE-CBD0-43CA-B518-F3770B10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font6">
    <w:name w:val="font6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color w:val="0000FF"/>
      <w:sz w:val="16"/>
      <w:szCs w:val="16"/>
    </w:rPr>
  </w:style>
  <w:style w:type="paragraph" w:customStyle="1" w:styleId="xl27">
    <w:name w:val="xl27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2">
    <w:name w:val="xl32"/>
    <w:basedOn w:val="Normal"/>
    <w:pPr>
      <w:pBdr>
        <w:top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3">
    <w:name w:val="xl33"/>
    <w:basedOn w:val="Normal"/>
    <w:pPr>
      <w:pBdr>
        <w:top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4">
    <w:name w:val="xl34"/>
    <w:basedOn w:val="Normal"/>
    <w:pPr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5">
    <w:name w:val="xl35"/>
    <w:basedOn w:val="Normal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6">
    <w:name w:val="xl36"/>
    <w:basedOn w:val="Normal"/>
    <w:pPr>
      <w:pBdr>
        <w:left w:val="single" w:sz="8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0">
    <w:name w:val="xl40"/>
    <w:basedOn w:val="Normal"/>
    <w:pPr>
      <w:pBdr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1">
    <w:name w:val="xl41"/>
    <w:basedOn w:val="Normal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2">
    <w:name w:val="xl42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4">
    <w:name w:val="xl4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6">
    <w:name w:val="xl4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9">
    <w:name w:val="xl49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50">
    <w:name w:val="xl50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1">
    <w:name w:val="xl51"/>
    <w:basedOn w:val="Normal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2">
    <w:name w:val="xl52"/>
    <w:basedOn w:val="Normal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53">
    <w:name w:val="xl53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4">
    <w:name w:val="xl54"/>
    <w:basedOn w:val="Normal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5">
    <w:name w:val="xl55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6">
    <w:name w:val="xl5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7">
    <w:name w:val="xl5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60">
    <w:name w:val="xl60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61">
    <w:name w:val="xl61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3">
    <w:name w:val="xl63"/>
    <w:basedOn w:val="Normal"/>
    <w:pP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5">
    <w:name w:val="xl65"/>
    <w:basedOn w:val="Normal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9">
    <w:name w:val="xl69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0">
    <w:name w:val="xl70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1">
    <w:name w:val="xl71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4">
    <w:name w:val="xl74"/>
    <w:basedOn w:val="Normal"/>
    <w:pPr>
      <w:pBdr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Normal"/>
    <w:pPr>
      <w:pBdr>
        <w:bottom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text">
    <w:name w:val="text"/>
    <w:basedOn w:val="DefaultParagraphFont"/>
  </w:style>
  <w:style w:type="paragraph" w:styleId="BodyTextIndent">
    <w:name w:val="Body Text Indent"/>
    <w:basedOn w:val="Normal"/>
    <w:pPr>
      <w:autoSpaceDE/>
      <w:autoSpaceDN/>
      <w:spacing w:after="120"/>
      <w:ind w:left="360"/>
    </w:pPr>
    <w:rPr>
      <w:lang w:val="en-GB"/>
    </w:rPr>
  </w:style>
  <w:style w:type="paragraph" w:styleId="PlainText">
    <w:name w:val="Plain Text"/>
    <w:basedOn w:val="Normal"/>
    <w:rsid w:val="000F54F4"/>
    <w:pPr>
      <w:autoSpaceDE/>
      <w:autoSpaceDN/>
    </w:pPr>
    <w:rPr>
      <w:rFonts w:ascii="Courier New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rsid w:val="00D16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51A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51A58"/>
    <w:rPr>
      <w:rFonts w:ascii="Tahoma" w:hAnsi="Tahoma" w:cs="Tahoma"/>
      <w:sz w:val="16"/>
      <w:szCs w:val="16"/>
    </w:rPr>
  </w:style>
  <w:style w:type="character" w:customStyle="1" w:styleId="bernard">
    <w:name w:val="bernard"/>
    <w:semiHidden/>
    <w:rsid w:val="008D16E0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423"/>
    <w:pPr>
      <w:autoSpaceDE/>
      <w:autoSpaceDN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2549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E11E08"/>
    <w:pPr>
      <w:autoSpaceDE/>
      <w:autoSpaceDN/>
      <w:spacing w:before="100" w:beforeAutospacing="1" w:after="100" w:afterAutospacing="1"/>
    </w:pPr>
    <w:rPr>
      <w:lang w:val="nl-BE" w:eastAsia="nl-BE"/>
    </w:rPr>
  </w:style>
  <w:style w:type="paragraph" w:styleId="Caption">
    <w:name w:val="caption"/>
    <w:basedOn w:val="Normal"/>
    <w:next w:val="Normal"/>
    <w:uiPriority w:val="35"/>
    <w:unhideWhenUsed/>
    <w:qFormat/>
    <w:rsid w:val="009246C8"/>
    <w:pPr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9246C8"/>
    <w:rPr>
      <w:lang w:val="en-US" w:eastAsia="en-US"/>
    </w:rPr>
  </w:style>
  <w:style w:type="paragraph" w:styleId="DocumentMap">
    <w:name w:val="Document Map"/>
    <w:basedOn w:val="Normal"/>
    <w:link w:val="DocumentMapChar"/>
    <w:rsid w:val="00104F7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104F7D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rsid w:val="00477B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7B24"/>
  </w:style>
  <w:style w:type="character" w:styleId="EndnoteReference">
    <w:name w:val="endnote reference"/>
    <w:rsid w:val="00477B24"/>
    <w:rPr>
      <w:vertAlign w:val="superscript"/>
    </w:rPr>
  </w:style>
  <w:style w:type="character" w:styleId="CommentReference">
    <w:name w:val="annotation reference"/>
    <w:rsid w:val="00844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41F9"/>
    <w:rPr>
      <w:sz w:val="20"/>
      <w:szCs w:val="20"/>
    </w:rPr>
  </w:style>
  <w:style w:type="character" w:customStyle="1" w:styleId="CommentTextChar">
    <w:name w:val="Comment Text Char"/>
    <w:link w:val="CommentText"/>
    <w:rsid w:val="008441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41F9"/>
    <w:rPr>
      <w:b/>
      <w:bCs/>
    </w:rPr>
  </w:style>
  <w:style w:type="character" w:customStyle="1" w:styleId="CommentSubjectChar">
    <w:name w:val="Comment Subject Char"/>
    <w:link w:val="CommentSubject"/>
    <w:rsid w:val="008441F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://www.efama.or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799D-432B-4DD3-903C-F6260536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14</Pages>
  <Words>1556</Words>
  <Characters>8011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EFAMA</Company>
  <LinksUpToDate>false</LinksUpToDate>
  <CharactersWithSpaces>9548</CharactersWithSpaces>
  <SharedDoc>false</SharedDoc>
  <HLinks>
    <vt:vector size="6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http://www.efama.org/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 Delbecque</dc:creator>
  <cp:keywords/>
  <dc:description/>
  <cp:lastModifiedBy>Thomas Tilley</cp:lastModifiedBy>
  <cp:revision>125</cp:revision>
  <cp:lastPrinted>2018-11-30T14:16:00Z</cp:lastPrinted>
  <dcterms:created xsi:type="dcterms:W3CDTF">2018-09-04T16:24:00Z</dcterms:created>
  <dcterms:modified xsi:type="dcterms:W3CDTF">2018-12-03T10:34:00Z</dcterms:modified>
</cp:coreProperties>
</file>