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045" w:rsidRDefault="00BE2045">
      <w:pPr>
        <w:pStyle w:val="Footer"/>
        <w:spacing w:line="36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6"/>
      </w:tblGrid>
      <w:tr w:rsidR="00537E5C" w:rsidRPr="00537E5C" w:rsidTr="00780EC1">
        <w:trPr>
          <w:trHeight w:val="1898"/>
        </w:trPr>
        <w:tc>
          <w:tcPr>
            <w:tcW w:w="9923" w:type="dxa"/>
            <w:tcBorders>
              <w:top w:val="single" w:sz="4" w:space="0" w:color="auto"/>
              <w:left w:val="single" w:sz="4" w:space="0" w:color="auto"/>
              <w:bottom w:val="single" w:sz="4" w:space="0" w:color="auto"/>
              <w:right w:val="single" w:sz="4" w:space="0" w:color="auto"/>
            </w:tcBorders>
          </w:tcPr>
          <w:p w:rsidR="00537E5C" w:rsidRPr="00537E5C" w:rsidRDefault="00537E5C" w:rsidP="00780EC1">
            <w:pPr>
              <w:pStyle w:val="Footer"/>
              <w:spacing w:line="360" w:lineRule="auto"/>
              <w:jc w:val="right"/>
              <w:rPr>
                <w:b/>
                <w:bCs/>
                <w:sz w:val="24"/>
                <w:szCs w:val="24"/>
                <w14:shadow w14:blurRad="50800" w14:dist="38100" w14:dir="2700000" w14:sx="100000" w14:sy="100000" w14:kx="0" w14:ky="0" w14:algn="tl">
                  <w14:srgbClr w14:val="000000">
                    <w14:alpha w14:val="60000"/>
                  </w14:srgbClr>
                </w14:shadow>
              </w:rPr>
            </w:pPr>
          </w:p>
          <w:p w:rsidR="00537E5C" w:rsidRPr="00537E5C" w:rsidRDefault="00537E5C" w:rsidP="00780EC1">
            <w:pPr>
              <w:pStyle w:val="Footer"/>
              <w:spacing w:line="360" w:lineRule="auto"/>
              <w:jc w:val="right"/>
              <w:rPr>
                <w:b/>
                <w:bCs/>
                <w:sz w:val="24"/>
                <w:szCs w:val="24"/>
                <w14:shadow w14:blurRad="50800" w14:dist="38100" w14:dir="2700000" w14:sx="100000" w14:sy="100000" w14:kx="0" w14:ky="0" w14:algn="tl">
                  <w14:srgbClr w14:val="000000">
                    <w14:alpha w14:val="60000"/>
                  </w14:srgbClr>
                </w14:shadow>
              </w:rPr>
            </w:pPr>
            <w:r>
              <w:object w:dxaOrig="5227" w:dyaOrig="2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1in" o:ole="">
                  <v:imagedata r:id="rId8" o:title=""/>
                </v:shape>
                <o:OLEObject Type="Embed" ProgID="DellImageExpertImage" ShapeID="_x0000_i1025" DrawAspect="Content" ObjectID="_1574242179" r:id="rId9"/>
              </w:object>
            </w:r>
            <w:r>
              <w:t xml:space="preserve">                                          </w:t>
            </w:r>
            <w:r>
              <w:rPr>
                <w:b/>
                <w:bCs/>
                <w:i/>
                <w:iCs/>
                <w:sz w:val="40"/>
                <w:szCs w:val="40"/>
                <w:lang w:val="en-US"/>
              </w:rPr>
              <w:t>Quarterly Statistical Release</w:t>
            </w:r>
            <w:r>
              <w:t xml:space="preserve">  </w:t>
            </w:r>
          </w:p>
        </w:tc>
      </w:tr>
    </w:tbl>
    <w:p w:rsidR="004B44B7" w:rsidRPr="004C7355" w:rsidRDefault="004B44B7">
      <w:pPr>
        <w:pStyle w:val="Footer"/>
        <w:spacing w:line="360" w:lineRule="auto"/>
        <w:jc w:val="right"/>
        <w:rPr>
          <w:b/>
          <w:bCs/>
          <w:sz w:val="24"/>
          <w:szCs w:val="24"/>
          <w:lang w:val="en-US"/>
          <w14:shadow w14:blurRad="50800" w14:dist="38100" w14:dir="2700000" w14:sx="100000" w14:sy="100000" w14:kx="0" w14:ky="0" w14:algn="tl">
            <w14:srgbClr w14:val="000000">
              <w14:alpha w14:val="60000"/>
            </w14:srgbClr>
          </w14:shadow>
        </w:rPr>
      </w:pPr>
    </w:p>
    <w:p w:rsidR="00BE2045" w:rsidRDefault="00AA6EE4">
      <w:pPr>
        <w:pStyle w:val="Footer"/>
        <w:spacing w:line="360" w:lineRule="auto"/>
        <w:jc w:val="right"/>
        <w:rPr>
          <w:rFonts w:ascii="Comic Sans MS" w:hAnsi="Comic Sans MS"/>
        </w:rPr>
      </w:pPr>
      <w:r w:rsidRPr="004C7355">
        <w:rPr>
          <w:b/>
          <w:bCs/>
          <w:sz w:val="24"/>
          <w:szCs w:val="24"/>
          <w:lang w:val="en-US"/>
          <w14:shadow w14:blurRad="50800" w14:dist="38100" w14:dir="2700000" w14:sx="100000" w14:sy="100000" w14:kx="0" w14:ky="0" w14:algn="tl">
            <w14:srgbClr w14:val="000000">
              <w14:alpha w14:val="60000"/>
            </w14:srgbClr>
          </w14:shadow>
        </w:rPr>
        <w:t xml:space="preserve">December </w:t>
      </w:r>
      <w:r w:rsidR="001C2BB5" w:rsidRPr="004C7355">
        <w:rPr>
          <w:b/>
          <w:bCs/>
          <w:sz w:val="24"/>
          <w:szCs w:val="24"/>
          <w14:shadow w14:blurRad="50800" w14:dist="38100" w14:dir="2700000" w14:sx="100000" w14:sy="100000" w14:kx="0" w14:ky="0" w14:algn="tl">
            <w14:srgbClr w14:val="000000">
              <w14:alpha w14:val="60000"/>
            </w14:srgbClr>
          </w14:shadow>
        </w:rPr>
        <w:t>20</w:t>
      </w:r>
      <w:r w:rsidR="009C3EB7" w:rsidRPr="004C7355">
        <w:rPr>
          <w:b/>
          <w:bCs/>
          <w:sz w:val="24"/>
          <w:szCs w:val="24"/>
          <w14:shadow w14:blurRad="50800" w14:dist="38100" w14:dir="2700000" w14:sx="100000" w14:sy="100000" w14:kx="0" w14:ky="0" w14:algn="tl">
            <w14:srgbClr w14:val="000000">
              <w14:alpha w14:val="60000"/>
            </w14:srgbClr>
          </w14:shadow>
        </w:rPr>
        <w:t>17</w:t>
      </w:r>
      <w:r w:rsidR="00BE2045" w:rsidRPr="004C7355">
        <w:rPr>
          <w:b/>
          <w:bCs/>
          <w:sz w:val="24"/>
          <w:szCs w:val="24"/>
          <w14:shadow w14:blurRad="50800" w14:dist="38100" w14:dir="2700000" w14:sx="100000" w14:sy="100000" w14:kx="0" w14:ky="0" w14:algn="tl">
            <w14:srgbClr w14:val="000000">
              <w14:alpha w14:val="60000"/>
            </w14:srgbClr>
          </w14:shadow>
        </w:rPr>
        <w:t xml:space="preserve"> N° </w:t>
      </w:r>
      <w:r w:rsidR="009C3EB7" w:rsidRPr="004C7355">
        <w:rPr>
          <w:b/>
          <w:bCs/>
          <w:sz w:val="24"/>
          <w:szCs w:val="24"/>
          <w14:shadow w14:blurRad="50800" w14:dist="38100" w14:dir="2700000" w14:sx="100000" w14:sy="100000" w14:kx="0" w14:ky="0" w14:algn="tl">
            <w14:srgbClr w14:val="000000">
              <w14:alpha w14:val="60000"/>
            </w14:srgbClr>
          </w14:shadow>
        </w:rPr>
        <w:t>7</w:t>
      </w:r>
      <w:r w:rsidR="008F5746" w:rsidRPr="004C7355">
        <w:rPr>
          <w:b/>
          <w:bCs/>
          <w:sz w:val="24"/>
          <w:szCs w:val="24"/>
          <w14:shadow w14:blurRad="50800" w14:dist="38100" w14:dir="2700000" w14:sx="100000" w14:sy="100000" w14:kx="0" w14:ky="0" w14:algn="tl">
            <w14:srgbClr w14:val="000000">
              <w14:alpha w14:val="60000"/>
            </w14:srgbClr>
          </w14:shadow>
        </w:rPr>
        <w:t>1</w:t>
      </w:r>
    </w:p>
    <w:p w:rsidR="00BE2045" w:rsidRDefault="00BE2045" w:rsidP="00104F7D">
      <w:pPr>
        <w:pStyle w:val="Footer"/>
        <w:jc w:val="right"/>
        <w:outlineLvl w:val="0"/>
        <w:rPr>
          <w:b/>
          <w:bCs/>
          <w:i/>
          <w:iCs/>
          <w:sz w:val="18"/>
          <w:szCs w:val="18"/>
          <w:lang w:val="en-US"/>
        </w:rPr>
      </w:pPr>
      <w:r>
        <w:rPr>
          <w:b/>
          <w:bCs/>
          <w:i/>
          <w:iCs/>
          <w:sz w:val="18"/>
          <w:szCs w:val="18"/>
          <w:lang w:val="en-US"/>
        </w:rPr>
        <w:t>This release and other statistical</w:t>
      </w:r>
    </w:p>
    <w:p w:rsidR="00BE2045" w:rsidRDefault="00F652C2">
      <w:pPr>
        <w:pStyle w:val="Footer"/>
        <w:jc w:val="right"/>
        <w:rPr>
          <w:b/>
          <w:bCs/>
          <w:i/>
          <w:iCs/>
          <w:sz w:val="18"/>
          <w:szCs w:val="18"/>
          <w:lang w:val="en-US"/>
        </w:rPr>
      </w:pPr>
      <w:proofErr w:type="gramStart"/>
      <w:r>
        <w:rPr>
          <w:b/>
          <w:bCs/>
          <w:i/>
          <w:iCs/>
          <w:sz w:val="18"/>
          <w:szCs w:val="18"/>
          <w:lang w:val="en-US"/>
        </w:rPr>
        <w:t>releases</w:t>
      </w:r>
      <w:proofErr w:type="gramEnd"/>
      <w:r>
        <w:rPr>
          <w:b/>
          <w:bCs/>
          <w:i/>
          <w:iCs/>
          <w:sz w:val="18"/>
          <w:szCs w:val="18"/>
          <w:lang w:val="en-US"/>
        </w:rPr>
        <w:t xml:space="preserve"> are available on E</w:t>
      </w:r>
      <w:r w:rsidR="00BE2045">
        <w:rPr>
          <w:b/>
          <w:bCs/>
          <w:i/>
          <w:iCs/>
          <w:sz w:val="18"/>
          <w:szCs w:val="18"/>
          <w:lang w:val="en-US"/>
        </w:rPr>
        <w:t>fama’s</w:t>
      </w:r>
    </w:p>
    <w:p w:rsidR="00BE2045" w:rsidRDefault="00BE2045">
      <w:pPr>
        <w:pStyle w:val="Footer"/>
        <w:jc w:val="right"/>
        <w:rPr>
          <w:b/>
          <w:bCs/>
          <w:i/>
          <w:iCs/>
          <w:sz w:val="18"/>
          <w:szCs w:val="18"/>
          <w:lang w:val="en-US"/>
        </w:rPr>
      </w:pPr>
      <w:proofErr w:type="gramStart"/>
      <w:r>
        <w:rPr>
          <w:b/>
          <w:bCs/>
          <w:i/>
          <w:iCs/>
          <w:sz w:val="18"/>
          <w:szCs w:val="18"/>
          <w:lang w:val="en-US"/>
        </w:rPr>
        <w:t>website</w:t>
      </w:r>
      <w:proofErr w:type="gramEnd"/>
      <w:r>
        <w:rPr>
          <w:b/>
          <w:bCs/>
          <w:i/>
          <w:iCs/>
          <w:sz w:val="18"/>
          <w:szCs w:val="18"/>
          <w:lang w:val="en-US"/>
        </w:rPr>
        <w:t xml:space="preserve"> (</w:t>
      </w:r>
      <w:hyperlink r:id="rId10" w:history="1">
        <w:r>
          <w:rPr>
            <w:rStyle w:val="Hyperlink"/>
            <w:b/>
            <w:bCs/>
            <w:i/>
            <w:iCs/>
            <w:sz w:val="18"/>
            <w:szCs w:val="18"/>
          </w:rPr>
          <w:t>www.efama.org</w:t>
        </w:r>
      </w:hyperlink>
      <w:r>
        <w:rPr>
          <w:b/>
          <w:bCs/>
          <w:i/>
          <w:iCs/>
          <w:sz w:val="18"/>
          <w:szCs w:val="18"/>
          <w:lang w:val="en-US"/>
        </w:rPr>
        <w:t>)</w:t>
      </w:r>
    </w:p>
    <w:p w:rsidR="00BE2045" w:rsidRDefault="00BE2045">
      <w:pPr>
        <w:pStyle w:val="Footer"/>
        <w:rPr>
          <w:b/>
          <w:bCs/>
          <w:i/>
          <w:iCs/>
          <w:sz w:val="18"/>
          <w:szCs w:val="18"/>
          <w:lang w:val="en-US"/>
        </w:rPr>
      </w:pPr>
    </w:p>
    <w:p w:rsidR="00BE2045" w:rsidRDefault="00BE2045">
      <w:pPr>
        <w:pStyle w:val="Footer"/>
        <w:jc w:val="center"/>
        <w:rPr>
          <w:b/>
          <w:bCs/>
          <w:sz w:val="18"/>
          <w:szCs w:val="18"/>
          <w:lang w:val="en-US"/>
        </w:rPr>
      </w:pPr>
    </w:p>
    <w:p w:rsidR="00BE2045" w:rsidRDefault="00BE2045">
      <w:pPr>
        <w:pStyle w:val="Footer"/>
        <w:jc w:val="center"/>
        <w:rPr>
          <w:b/>
          <w:bCs/>
          <w:sz w:val="18"/>
          <w:szCs w:val="18"/>
          <w:lang w:val="en-US"/>
        </w:rPr>
      </w:pPr>
    </w:p>
    <w:p w:rsidR="00BE2045" w:rsidRDefault="00BE2045">
      <w:pPr>
        <w:pStyle w:val="Footer"/>
        <w:jc w:val="center"/>
        <w:rPr>
          <w:b/>
          <w:bCs/>
          <w:sz w:val="40"/>
          <w:szCs w:val="18"/>
          <w:lang w:val="en-US"/>
        </w:rPr>
      </w:pPr>
    </w:p>
    <w:p w:rsidR="00BE2045" w:rsidRDefault="00BE2045" w:rsidP="00340C4D">
      <w:pPr>
        <w:pStyle w:val="Footer"/>
        <w:rPr>
          <w:b/>
          <w:bCs/>
          <w:sz w:val="40"/>
          <w:szCs w:val="18"/>
          <w:lang w:val="en-US"/>
        </w:rPr>
      </w:pPr>
    </w:p>
    <w:p w:rsidR="00340C4D" w:rsidRDefault="00340C4D" w:rsidP="00340C4D">
      <w:pPr>
        <w:pStyle w:val="Footer"/>
        <w:rPr>
          <w:b/>
          <w:bCs/>
          <w:sz w:val="18"/>
          <w:szCs w:val="18"/>
          <w:lang w:val="en-US"/>
        </w:rPr>
      </w:pPr>
    </w:p>
    <w:p w:rsidR="00495840" w:rsidRDefault="00495840">
      <w:pPr>
        <w:pStyle w:val="Footer"/>
        <w:jc w:val="center"/>
        <w:rPr>
          <w:b/>
          <w:bCs/>
          <w:sz w:val="18"/>
          <w:szCs w:val="18"/>
          <w:lang w:val="en-US"/>
        </w:rPr>
      </w:pPr>
    </w:p>
    <w:p w:rsidR="00BE2045" w:rsidRDefault="00BE2045">
      <w:pPr>
        <w:pStyle w:val="Footer"/>
        <w:jc w:val="center"/>
        <w:rPr>
          <w:b/>
          <w:bCs/>
          <w:sz w:val="18"/>
          <w:szCs w:val="18"/>
          <w:lang w:val="en-US"/>
        </w:rPr>
      </w:pPr>
    </w:p>
    <w:p w:rsidR="00E31FD0" w:rsidRDefault="00E31FD0">
      <w:pPr>
        <w:pStyle w:val="Footer"/>
        <w:jc w:val="center"/>
        <w:rPr>
          <w:b/>
          <w:bCs/>
          <w:sz w:val="18"/>
          <w:szCs w:val="18"/>
          <w:lang w:val="en-US"/>
        </w:rPr>
      </w:pPr>
    </w:p>
    <w:p w:rsidR="00887A60" w:rsidRDefault="00887A60">
      <w:pPr>
        <w:pStyle w:val="Footer"/>
        <w:jc w:val="center"/>
        <w:rPr>
          <w:b/>
          <w:bCs/>
          <w:sz w:val="18"/>
          <w:szCs w:val="18"/>
          <w:lang w:val="en-US"/>
        </w:rPr>
      </w:pPr>
    </w:p>
    <w:p w:rsidR="00BE2045" w:rsidRDefault="00BE2045">
      <w:pPr>
        <w:pStyle w:val="Footer"/>
        <w:jc w:val="center"/>
        <w:rPr>
          <w:b/>
          <w:bCs/>
          <w:sz w:val="18"/>
          <w:szCs w:val="18"/>
          <w:lang w:val="en-US"/>
        </w:rPr>
      </w:pPr>
    </w:p>
    <w:p w:rsidR="00BE2045" w:rsidRDefault="00BE2045" w:rsidP="00104F7D">
      <w:pPr>
        <w:pStyle w:val="Footer"/>
        <w:jc w:val="center"/>
        <w:outlineLvl w:val="0"/>
        <w:rPr>
          <w:b/>
          <w:bCs/>
          <w:i/>
          <w:iCs/>
          <w:sz w:val="40"/>
          <w:szCs w:val="40"/>
          <w:lang w:val="en-US"/>
        </w:rPr>
      </w:pPr>
      <w:r>
        <w:rPr>
          <w:b/>
          <w:bCs/>
          <w:i/>
          <w:iCs/>
          <w:sz w:val="40"/>
          <w:szCs w:val="40"/>
          <w:lang w:val="en-US"/>
        </w:rPr>
        <w:t>Trends in the European Investment Fund Industry</w:t>
      </w:r>
    </w:p>
    <w:p w:rsidR="00BE2045" w:rsidRDefault="00BE2045">
      <w:pPr>
        <w:pStyle w:val="Footer"/>
        <w:jc w:val="center"/>
        <w:rPr>
          <w:b/>
          <w:bCs/>
          <w:i/>
          <w:iCs/>
          <w:sz w:val="40"/>
          <w:szCs w:val="40"/>
          <w:lang w:val="en-US"/>
        </w:rPr>
      </w:pPr>
    </w:p>
    <w:p w:rsidR="008F2549" w:rsidRDefault="002C628C" w:rsidP="008F2549">
      <w:pPr>
        <w:pStyle w:val="Footer"/>
        <w:jc w:val="center"/>
        <w:rPr>
          <w:b/>
          <w:bCs/>
          <w:i/>
          <w:iCs/>
          <w:sz w:val="40"/>
          <w:szCs w:val="40"/>
          <w:lang w:val="en-US"/>
        </w:rPr>
      </w:pPr>
      <w:proofErr w:type="gramStart"/>
      <w:r>
        <w:rPr>
          <w:b/>
          <w:bCs/>
          <w:i/>
          <w:iCs/>
          <w:sz w:val="40"/>
          <w:szCs w:val="40"/>
          <w:lang w:val="en-US"/>
        </w:rPr>
        <w:t>in</w:t>
      </w:r>
      <w:proofErr w:type="gramEnd"/>
      <w:r w:rsidR="00F81F78">
        <w:rPr>
          <w:b/>
          <w:bCs/>
          <w:i/>
          <w:iCs/>
          <w:sz w:val="40"/>
          <w:szCs w:val="40"/>
          <w:lang w:val="en-US"/>
        </w:rPr>
        <w:t xml:space="preserve"> the </w:t>
      </w:r>
      <w:r w:rsidR="00DB7708">
        <w:rPr>
          <w:b/>
          <w:bCs/>
          <w:i/>
          <w:iCs/>
          <w:sz w:val="40"/>
          <w:szCs w:val="40"/>
          <w:lang w:val="en-US"/>
        </w:rPr>
        <w:t>Third</w:t>
      </w:r>
      <w:r w:rsidR="004465FC">
        <w:rPr>
          <w:b/>
          <w:bCs/>
          <w:i/>
          <w:iCs/>
          <w:sz w:val="40"/>
          <w:szCs w:val="40"/>
          <w:lang w:val="en-US"/>
        </w:rPr>
        <w:t xml:space="preserve"> Quarter of 2017</w:t>
      </w:r>
    </w:p>
    <w:p w:rsidR="009A23FA" w:rsidRDefault="009A23FA" w:rsidP="008F2549">
      <w:pPr>
        <w:pStyle w:val="Footer"/>
        <w:jc w:val="center"/>
        <w:rPr>
          <w:b/>
          <w:bCs/>
          <w:i/>
          <w:iCs/>
          <w:sz w:val="40"/>
          <w:szCs w:val="40"/>
          <w:lang w:val="en-US"/>
        </w:rPr>
      </w:pPr>
    </w:p>
    <w:p w:rsidR="00767566" w:rsidRDefault="00767566" w:rsidP="008F2549">
      <w:pPr>
        <w:pStyle w:val="Footer"/>
        <w:jc w:val="center"/>
        <w:rPr>
          <w:b/>
          <w:bCs/>
          <w:i/>
          <w:iCs/>
          <w:sz w:val="40"/>
          <w:szCs w:val="40"/>
          <w:lang w:val="en-US"/>
        </w:rPr>
      </w:pPr>
    </w:p>
    <w:p w:rsidR="00AC73EA" w:rsidRDefault="00AC73EA" w:rsidP="008F2549">
      <w:pPr>
        <w:pStyle w:val="Footer"/>
        <w:jc w:val="center"/>
        <w:rPr>
          <w:b/>
          <w:bCs/>
          <w:i/>
          <w:iCs/>
          <w:sz w:val="40"/>
          <w:szCs w:val="40"/>
          <w:lang w:val="en-US"/>
        </w:rPr>
      </w:pPr>
    </w:p>
    <w:p w:rsidR="00C31FBE" w:rsidRDefault="00C31FBE" w:rsidP="008F2549">
      <w:pPr>
        <w:pStyle w:val="Footer"/>
        <w:jc w:val="center"/>
        <w:rPr>
          <w:b/>
          <w:bCs/>
          <w:i/>
          <w:iCs/>
          <w:sz w:val="40"/>
          <w:szCs w:val="40"/>
          <w:lang w:val="en-US"/>
        </w:rPr>
      </w:pPr>
    </w:p>
    <w:p w:rsidR="00DA0EDA" w:rsidRDefault="00DA0EDA" w:rsidP="008F2549">
      <w:pPr>
        <w:pStyle w:val="Footer"/>
        <w:jc w:val="center"/>
        <w:rPr>
          <w:b/>
          <w:bCs/>
          <w:i/>
          <w:iCs/>
          <w:sz w:val="40"/>
          <w:szCs w:val="40"/>
          <w:lang w:val="en-US"/>
        </w:rPr>
      </w:pPr>
    </w:p>
    <w:p w:rsidR="005A704F" w:rsidRDefault="005A704F" w:rsidP="00473B0A">
      <w:pPr>
        <w:pStyle w:val="Footer"/>
        <w:rPr>
          <w:b/>
          <w:bCs/>
          <w:i/>
          <w:iCs/>
          <w:sz w:val="40"/>
          <w:szCs w:val="40"/>
          <w:lang w:val="en-US"/>
        </w:rPr>
      </w:pPr>
    </w:p>
    <w:p w:rsidR="008516E2" w:rsidRDefault="008516E2">
      <w:pPr>
        <w:pStyle w:val="Footer"/>
        <w:jc w:val="center"/>
        <w:rPr>
          <w:b/>
          <w:bCs/>
          <w:i/>
          <w:iCs/>
          <w:sz w:val="40"/>
          <w:szCs w:val="40"/>
          <w:lang w:val="en-US"/>
        </w:rPr>
      </w:pPr>
    </w:p>
    <w:p w:rsidR="00BA0A3A" w:rsidRDefault="00BA0A3A">
      <w:pPr>
        <w:pStyle w:val="Footer"/>
        <w:jc w:val="center"/>
        <w:rPr>
          <w:b/>
          <w:bCs/>
          <w:i/>
          <w:iCs/>
          <w:sz w:val="40"/>
          <w:szCs w:val="40"/>
          <w:lang w:val="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BE2045" w:rsidRPr="007F3CE3">
        <w:trPr>
          <w:trHeight w:val="1617"/>
        </w:trPr>
        <w:tc>
          <w:tcPr>
            <w:tcW w:w="9923" w:type="dxa"/>
            <w:tcBorders>
              <w:top w:val="single" w:sz="4" w:space="0" w:color="auto"/>
              <w:left w:val="single" w:sz="4" w:space="0" w:color="auto"/>
              <w:bottom w:val="single" w:sz="4" w:space="0" w:color="auto"/>
              <w:right w:val="single" w:sz="4" w:space="0" w:color="auto"/>
            </w:tcBorders>
          </w:tcPr>
          <w:p w:rsidR="00BE2045" w:rsidRDefault="00BE2045">
            <w:pPr>
              <w:pStyle w:val="Footer"/>
              <w:jc w:val="center"/>
              <w:rPr>
                <w:b/>
                <w:bCs/>
                <w:sz w:val="16"/>
                <w:szCs w:val="16"/>
                <w:lang w:val="en-US"/>
              </w:rPr>
            </w:pPr>
          </w:p>
          <w:p w:rsidR="00BE2045" w:rsidRDefault="00BE2045">
            <w:pPr>
              <w:pStyle w:val="Footer"/>
              <w:jc w:val="center"/>
              <w:rPr>
                <w:b/>
                <w:bCs/>
                <w:sz w:val="18"/>
                <w:szCs w:val="16"/>
                <w:lang w:val="en-US"/>
              </w:rPr>
            </w:pPr>
            <w:r>
              <w:rPr>
                <w:b/>
                <w:bCs/>
                <w:sz w:val="18"/>
                <w:szCs w:val="16"/>
                <w:lang w:val="en-US"/>
              </w:rPr>
              <w:t xml:space="preserve">This report was prepared by </w:t>
            </w:r>
            <w:r w:rsidR="008F5746">
              <w:rPr>
                <w:b/>
                <w:bCs/>
                <w:sz w:val="18"/>
                <w:szCs w:val="16"/>
                <w:lang w:val="en-US"/>
              </w:rPr>
              <w:t>Alex Carroll</w:t>
            </w:r>
            <w:r w:rsidR="000B2912">
              <w:rPr>
                <w:b/>
                <w:bCs/>
                <w:sz w:val="18"/>
                <w:szCs w:val="16"/>
                <w:lang w:val="en-US"/>
              </w:rPr>
              <w:t xml:space="preserve">, Thomas Tilley </w:t>
            </w:r>
            <w:r w:rsidR="008F5746">
              <w:rPr>
                <w:b/>
                <w:bCs/>
                <w:sz w:val="18"/>
                <w:szCs w:val="16"/>
                <w:lang w:val="en-US"/>
              </w:rPr>
              <w:t>and</w:t>
            </w:r>
            <w:r w:rsidR="004465FC">
              <w:rPr>
                <w:b/>
                <w:bCs/>
                <w:sz w:val="18"/>
                <w:szCs w:val="16"/>
                <w:lang w:val="en-US"/>
              </w:rPr>
              <w:t xml:space="preserve"> Ber</w:t>
            </w:r>
            <w:r w:rsidR="008F5746">
              <w:rPr>
                <w:b/>
                <w:bCs/>
                <w:sz w:val="18"/>
                <w:szCs w:val="16"/>
                <w:lang w:val="en-US"/>
              </w:rPr>
              <w:t>nard Delbecque</w:t>
            </w:r>
          </w:p>
          <w:p w:rsidR="00BE2045" w:rsidRDefault="004C7355">
            <w:pPr>
              <w:pStyle w:val="Footer"/>
              <w:jc w:val="center"/>
              <w:rPr>
                <w:b/>
                <w:bCs/>
                <w:sz w:val="16"/>
                <w:szCs w:val="16"/>
                <w:lang w:val="en-US"/>
              </w:rPr>
            </w:pPr>
            <w:r>
              <w:rPr>
                <w:b/>
                <w:bCs/>
                <w:noProof/>
                <w:szCs w:val="16"/>
                <w:lang w:val="nl-BE" w:eastAsia="nl-BE"/>
              </w:rPr>
              <mc:AlternateContent>
                <mc:Choice Requires="wps">
                  <w:drawing>
                    <wp:anchor distT="0" distB="0" distL="114300" distR="114300" simplePos="0" relativeHeight="251642880" behindDoc="0" locked="0" layoutInCell="1" allowOverlap="1">
                      <wp:simplePos x="0" y="0"/>
                      <wp:positionH relativeFrom="column">
                        <wp:posOffset>409575</wp:posOffset>
                      </wp:positionH>
                      <wp:positionV relativeFrom="paragraph">
                        <wp:posOffset>47625</wp:posOffset>
                      </wp:positionV>
                      <wp:extent cx="5038725" cy="0"/>
                      <wp:effectExtent l="0" t="0" r="0" b="0"/>
                      <wp:wrapSquare wrapText="bothSides"/>
                      <wp:docPr id="1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38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BA19E" id="Line 43" o:spid="_x0000_s1026" style="position:absolute;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3.75pt" to="42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">
                      <w10:wrap type="square"/>
                    </v:line>
                  </w:pict>
                </mc:Fallback>
              </mc:AlternateContent>
            </w:r>
          </w:p>
          <w:p w:rsidR="00BE2045" w:rsidRDefault="00BE2045">
            <w:pPr>
              <w:pStyle w:val="Footer"/>
              <w:jc w:val="center"/>
              <w:rPr>
                <w:b/>
                <w:bCs/>
                <w:sz w:val="18"/>
                <w:szCs w:val="18"/>
                <w:lang w:val="en-US"/>
              </w:rPr>
            </w:pPr>
            <w:r>
              <w:rPr>
                <w:b/>
                <w:bCs/>
                <w:sz w:val="18"/>
                <w:szCs w:val="18"/>
                <w:lang w:val="en-US"/>
              </w:rPr>
              <w:t>EFAMA</w:t>
            </w:r>
          </w:p>
          <w:p w:rsidR="00BE2045" w:rsidRDefault="00BE2045">
            <w:pPr>
              <w:pStyle w:val="Footer"/>
              <w:jc w:val="center"/>
              <w:rPr>
                <w:b/>
                <w:bCs/>
                <w:sz w:val="18"/>
                <w:szCs w:val="16"/>
              </w:rPr>
            </w:pPr>
            <w:r>
              <w:rPr>
                <w:b/>
                <w:bCs/>
                <w:sz w:val="18"/>
                <w:szCs w:val="16"/>
              </w:rPr>
              <w:t>The European Fund and Asset Management Association</w:t>
            </w:r>
          </w:p>
          <w:p w:rsidR="00BE2045" w:rsidRDefault="00BE2045">
            <w:pPr>
              <w:pStyle w:val="Footer"/>
              <w:jc w:val="both"/>
              <w:rPr>
                <w:b/>
                <w:bCs/>
                <w:sz w:val="18"/>
                <w:szCs w:val="16"/>
                <w:lang w:val="en-US"/>
              </w:rPr>
            </w:pPr>
          </w:p>
          <w:p w:rsidR="00BE2045" w:rsidRPr="004C7355" w:rsidRDefault="00495840">
            <w:pPr>
              <w:pStyle w:val="Footer"/>
              <w:spacing w:line="360" w:lineRule="auto"/>
              <w:jc w:val="center"/>
              <w:rPr>
                <w:b/>
                <w:bCs/>
                <w:sz w:val="18"/>
                <w:szCs w:val="24"/>
                <w:lang w:val="fr-BE"/>
                <w14:shadow w14:blurRad="50800" w14:dist="38100" w14:dir="2700000" w14:sx="100000" w14:sy="100000" w14:kx="0" w14:ky="0" w14:algn="tl">
                  <w14:srgbClr w14:val="000000">
                    <w14:alpha w14:val="60000"/>
                  </w14:srgbClr>
                </w14:shadow>
              </w:rPr>
            </w:pPr>
            <w:r>
              <w:rPr>
                <w:b/>
                <w:bCs/>
                <w:sz w:val="18"/>
                <w:szCs w:val="16"/>
                <w:lang w:val="fr-BE"/>
              </w:rPr>
              <w:t>Rue Montoyer 47 - B-100</w:t>
            </w:r>
            <w:r w:rsidR="00BE2045">
              <w:rPr>
                <w:b/>
                <w:bCs/>
                <w:sz w:val="18"/>
                <w:szCs w:val="16"/>
                <w:lang w:val="fr-BE"/>
              </w:rPr>
              <w:t>0 BRUXELLES - Tel. 32-2-513.39.69 Fax: 32-2-513.26.43 - e-mail: info@efama.org</w:t>
            </w:r>
          </w:p>
        </w:tc>
      </w:tr>
    </w:tbl>
    <w:p w:rsidR="00F60EEC" w:rsidRPr="00FF66E2" w:rsidRDefault="00F60EEC">
      <w:pPr>
        <w:pStyle w:val="Footer"/>
        <w:spacing w:line="360" w:lineRule="auto"/>
        <w:rPr>
          <w:lang w:val="fr-BE"/>
        </w:rPr>
      </w:pPr>
    </w:p>
    <w:p w:rsidR="00A155D2" w:rsidRPr="00450B0B" w:rsidRDefault="00AC73EA" w:rsidP="001142A5">
      <w:pPr>
        <w:pStyle w:val="Footer"/>
        <w:jc w:val="center"/>
        <w:outlineLvl w:val="0"/>
        <w:rPr>
          <w:lang w:val="fr-BE"/>
        </w:rPr>
      </w:pPr>
      <w:r w:rsidRPr="00450B0B">
        <w:rPr>
          <w:b/>
          <w:bCs/>
          <w:sz w:val="28"/>
          <w:szCs w:val="28"/>
          <w:lang w:val="fr-BE"/>
          <w14:shadow w14:blurRad="50800" w14:dist="38100" w14:dir="2700000" w14:sx="100000" w14:sy="100000" w14:kx="0" w14:ky="0" w14:algn="tl">
            <w14:srgbClr w14:val="000000">
              <w14:alpha w14:val="60000"/>
            </w14:srgbClr>
          </w14:shadow>
        </w:rPr>
        <w:br w:type="page"/>
      </w:r>
      <w:r w:rsidR="001142A5" w:rsidRPr="00450B0B">
        <w:rPr>
          <w:lang w:val="fr-BE"/>
        </w:rPr>
        <w:lastRenderedPageBreak/>
        <w:t xml:space="preserve"> </w:t>
      </w:r>
    </w:p>
    <w:p w:rsidR="001142A5" w:rsidRPr="004C7355" w:rsidRDefault="001142A5" w:rsidP="001142A5">
      <w:pPr>
        <w:pStyle w:val="Footer"/>
        <w:jc w:val="center"/>
        <w:outlineLvl w:val="0"/>
        <w:rPr>
          <w:b/>
          <w:bCs/>
          <w:sz w:val="28"/>
          <w:szCs w:val="28"/>
          <w:lang w:val="en-US"/>
          <w14:shadow w14:blurRad="50800" w14:dist="38100" w14:dir="2700000" w14:sx="100000" w14:sy="100000" w14:kx="0" w14:ky="0" w14:algn="tl">
            <w14:srgbClr w14:val="000000">
              <w14:alpha w14:val="60000"/>
            </w14:srgbClr>
          </w14:shadow>
        </w:rPr>
      </w:pPr>
      <w:r w:rsidRPr="004C7355">
        <w:rPr>
          <w:b/>
          <w:bCs/>
          <w:sz w:val="28"/>
          <w:szCs w:val="28"/>
          <w:lang w:val="en-US"/>
          <w14:shadow w14:blurRad="50800" w14:dist="38100" w14:dir="2700000" w14:sx="100000" w14:sy="100000" w14:kx="0" w14:ky="0" w14:algn="tl">
            <w14:srgbClr w14:val="000000">
              <w14:alpha w14:val="60000"/>
            </w14:srgbClr>
          </w14:shadow>
        </w:rPr>
        <w:t>Trends in the UCITS Market</w:t>
      </w:r>
    </w:p>
    <w:p w:rsidR="001142A5" w:rsidRPr="004C7355" w:rsidRDefault="001142A5" w:rsidP="001142A5">
      <w:pPr>
        <w:pStyle w:val="Footer"/>
        <w:jc w:val="center"/>
        <w:outlineLvl w:val="0"/>
        <w:rPr>
          <w:b/>
          <w:bCs/>
          <w:i/>
          <w:iCs/>
          <w:sz w:val="28"/>
          <w:szCs w:val="28"/>
          <w:lang w:val="en-US"/>
          <w14:shadow w14:blurRad="50800" w14:dist="38100" w14:dir="2700000" w14:sx="100000" w14:sy="100000" w14:kx="0" w14:ky="0" w14:algn="tl">
            <w14:srgbClr w14:val="000000">
              <w14:alpha w14:val="60000"/>
            </w14:srgbClr>
          </w14:shadow>
        </w:rPr>
      </w:pPr>
      <w:r w:rsidRPr="004C7355">
        <w:rPr>
          <w:b/>
          <w:bCs/>
          <w:i/>
          <w:iCs/>
          <w:sz w:val="28"/>
          <w:szCs w:val="28"/>
          <w:lang w:val="en-US"/>
          <w14:shadow w14:blurRad="50800" w14:dist="38100" w14:dir="2700000" w14:sx="100000" w14:sy="100000" w14:kx="0" w14:ky="0" w14:algn="tl">
            <w14:srgbClr w14:val="000000">
              <w14:alpha w14:val="60000"/>
            </w14:srgbClr>
          </w14:shadow>
        </w:rPr>
        <w:t>Net Sales by Investment Type</w:t>
      </w:r>
    </w:p>
    <w:p w:rsidR="001142A5" w:rsidRDefault="001142A5" w:rsidP="001142A5">
      <w:pPr>
        <w:pStyle w:val="Footer"/>
        <w:tabs>
          <w:tab w:val="left" w:pos="720"/>
          <w:tab w:val="left" w:pos="4320"/>
        </w:tabs>
        <w:spacing w:line="260" w:lineRule="exact"/>
        <w:jc w:val="both"/>
        <w:rPr>
          <w:sz w:val="22"/>
          <w:szCs w:val="22"/>
          <w:lang w:val="en-US"/>
        </w:rPr>
      </w:pPr>
    </w:p>
    <w:p w:rsidR="00121780" w:rsidRPr="00121780" w:rsidRDefault="001142A5" w:rsidP="00121780">
      <w:pPr>
        <w:spacing w:line="260" w:lineRule="exact"/>
        <w:jc w:val="both"/>
        <w:rPr>
          <w:b/>
          <w:color w:val="0000FF"/>
          <w:sz w:val="22"/>
          <w:szCs w:val="22"/>
          <w:lang w:eastAsia="fr-FR"/>
        </w:rPr>
      </w:pPr>
      <w:r w:rsidRPr="00121780">
        <w:rPr>
          <w:b/>
          <w:color w:val="0000FF"/>
          <w:sz w:val="22"/>
          <w:szCs w:val="22"/>
          <w:lang w:eastAsia="fr-FR"/>
        </w:rPr>
        <w:t>UCITS</w:t>
      </w:r>
      <w:r w:rsidR="00537E5C" w:rsidRPr="00121780">
        <w:rPr>
          <w:b/>
          <w:color w:val="0000FF"/>
          <w:sz w:val="22"/>
          <w:szCs w:val="22"/>
          <w:lang w:eastAsia="fr-FR"/>
        </w:rPr>
        <w:t xml:space="preserve"> recorded net sale</w:t>
      </w:r>
      <w:r w:rsidR="00AA6EE4" w:rsidRPr="00121780">
        <w:rPr>
          <w:b/>
          <w:color w:val="0000FF"/>
          <w:sz w:val="22"/>
          <w:szCs w:val="22"/>
          <w:lang w:eastAsia="fr-FR"/>
        </w:rPr>
        <w:t>s of EUR 190</w:t>
      </w:r>
      <w:r w:rsidRPr="00121780">
        <w:rPr>
          <w:b/>
          <w:color w:val="0000FF"/>
          <w:sz w:val="22"/>
          <w:szCs w:val="22"/>
          <w:lang w:eastAsia="fr-FR"/>
        </w:rPr>
        <w:t xml:space="preserve"> billion during </w:t>
      </w:r>
      <w:r w:rsidR="00DB7708" w:rsidRPr="00121780">
        <w:rPr>
          <w:b/>
          <w:color w:val="0000FF"/>
          <w:sz w:val="22"/>
          <w:szCs w:val="22"/>
          <w:lang w:eastAsia="fr-FR"/>
        </w:rPr>
        <w:t>Q3</w:t>
      </w:r>
      <w:r w:rsidR="00AA6EE4" w:rsidRPr="00121780">
        <w:rPr>
          <w:b/>
          <w:color w:val="0000FF"/>
          <w:sz w:val="22"/>
          <w:szCs w:val="22"/>
          <w:lang w:eastAsia="fr-FR"/>
        </w:rPr>
        <w:t xml:space="preserve"> 2017, compared to EUR 175</w:t>
      </w:r>
      <w:r w:rsidRPr="00121780">
        <w:rPr>
          <w:b/>
          <w:color w:val="0000FF"/>
          <w:sz w:val="22"/>
          <w:szCs w:val="22"/>
          <w:lang w:eastAsia="fr-FR"/>
        </w:rPr>
        <w:t xml:space="preserve"> billion in the </w:t>
      </w:r>
      <w:r w:rsidR="00DB7708" w:rsidRPr="00121780">
        <w:rPr>
          <w:b/>
          <w:color w:val="0000FF"/>
          <w:sz w:val="22"/>
          <w:szCs w:val="22"/>
          <w:lang w:eastAsia="fr-FR"/>
        </w:rPr>
        <w:t>second</w:t>
      </w:r>
      <w:r w:rsidRPr="00121780">
        <w:rPr>
          <w:b/>
          <w:color w:val="0000FF"/>
          <w:sz w:val="22"/>
          <w:szCs w:val="22"/>
          <w:lang w:eastAsia="fr-FR"/>
        </w:rPr>
        <w:t xml:space="preserve"> quarter of 2017.</w:t>
      </w:r>
      <w:r w:rsidR="00AC5AAD" w:rsidRPr="00121780">
        <w:rPr>
          <w:b/>
          <w:color w:val="0000FF"/>
          <w:sz w:val="22"/>
          <w:szCs w:val="22"/>
          <w:lang w:eastAsia="fr-FR"/>
        </w:rPr>
        <w:t xml:space="preserve"> </w:t>
      </w:r>
      <w:r w:rsidR="00450B0B">
        <w:rPr>
          <w:b/>
          <w:color w:val="0000FF"/>
          <w:sz w:val="22"/>
          <w:szCs w:val="22"/>
          <w:lang w:eastAsia="fr-FR"/>
        </w:rPr>
        <w:t>During the first three quarters of 2017</w:t>
      </w:r>
      <w:r w:rsidR="00121780" w:rsidRPr="00121780">
        <w:rPr>
          <w:b/>
          <w:color w:val="0000FF"/>
          <w:sz w:val="22"/>
          <w:szCs w:val="22"/>
          <w:lang w:eastAsia="fr-FR"/>
        </w:rPr>
        <w:t>, UCITS have attracted cumulative net sales of EUR 568 billion, compared to annual net sales of EUR 271 billion in 2016 and EUR 602 billion in 2015.</w:t>
      </w:r>
    </w:p>
    <w:p w:rsidR="001142A5" w:rsidRDefault="001142A5" w:rsidP="001142A5">
      <w:pPr>
        <w:pStyle w:val="Footer"/>
        <w:tabs>
          <w:tab w:val="left" w:pos="720"/>
          <w:tab w:val="left" w:pos="4320"/>
        </w:tabs>
        <w:spacing w:line="260" w:lineRule="exact"/>
        <w:jc w:val="both"/>
        <w:rPr>
          <w:b/>
          <w:bCs/>
          <w:color w:val="0000FF"/>
          <w:sz w:val="22"/>
          <w:szCs w:val="22"/>
        </w:rPr>
      </w:pPr>
      <w:r>
        <w:rPr>
          <w:b/>
          <w:bCs/>
          <w:color w:val="0000FF"/>
          <w:sz w:val="22"/>
          <w:szCs w:val="22"/>
        </w:rPr>
        <w:t xml:space="preserve"> </w:t>
      </w:r>
    </w:p>
    <w:p w:rsidR="001142A5" w:rsidRDefault="001142A5" w:rsidP="001142A5">
      <w:pPr>
        <w:pStyle w:val="Footer"/>
        <w:tabs>
          <w:tab w:val="left" w:pos="720"/>
          <w:tab w:val="left" w:pos="4320"/>
        </w:tabs>
        <w:spacing w:line="260" w:lineRule="exact"/>
        <w:jc w:val="both"/>
        <w:rPr>
          <w:bCs/>
          <w:color w:val="000000"/>
          <w:sz w:val="22"/>
          <w:szCs w:val="22"/>
        </w:rPr>
      </w:pPr>
      <w:r w:rsidRPr="007D3A6C">
        <w:rPr>
          <w:bCs/>
          <w:color w:val="000000"/>
          <w:sz w:val="22"/>
          <w:szCs w:val="22"/>
        </w:rPr>
        <w:t xml:space="preserve">Long-term UCITS </w:t>
      </w:r>
      <w:r w:rsidR="00AA6EE4">
        <w:rPr>
          <w:bCs/>
          <w:color w:val="000000"/>
          <w:sz w:val="22"/>
          <w:szCs w:val="22"/>
        </w:rPr>
        <w:t>recorded net sales of EUR 157</w:t>
      </w:r>
      <w:r>
        <w:rPr>
          <w:bCs/>
          <w:color w:val="000000"/>
          <w:sz w:val="22"/>
          <w:szCs w:val="22"/>
        </w:rPr>
        <w:t xml:space="preserve"> billion in </w:t>
      </w:r>
      <w:r w:rsidR="00DB7708">
        <w:rPr>
          <w:bCs/>
          <w:color w:val="000000"/>
          <w:sz w:val="22"/>
          <w:szCs w:val="22"/>
        </w:rPr>
        <w:t>Q3</w:t>
      </w:r>
      <w:r>
        <w:rPr>
          <w:bCs/>
          <w:color w:val="000000"/>
          <w:sz w:val="22"/>
          <w:szCs w:val="22"/>
        </w:rPr>
        <w:t xml:space="preserve"> 2017</w:t>
      </w:r>
      <w:r w:rsidRPr="00A7353F">
        <w:rPr>
          <w:bCs/>
          <w:color w:val="000000"/>
          <w:sz w:val="22"/>
          <w:szCs w:val="22"/>
        </w:rPr>
        <w:t xml:space="preserve">, </w:t>
      </w:r>
      <w:r w:rsidR="00AA6EE4">
        <w:rPr>
          <w:bCs/>
          <w:color w:val="000000"/>
          <w:sz w:val="22"/>
          <w:szCs w:val="22"/>
        </w:rPr>
        <w:t>down from EUR 188</w:t>
      </w:r>
      <w:r w:rsidRPr="00A7353F">
        <w:rPr>
          <w:bCs/>
          <w:color w:val="000000"/>
          <w:sz w:val="22"/>
          <w:szCs w:val="22"/>
        </w:rPr>
        <w:t xml:space="preserve"> billion in </w:t>
      </w:r>
      <w:r w:rsidR="00DB7708">
        <w:rPr>
          <w:bCs/>
          <w:color w:val="000000"/>
          <w:sz w:val="22"/>
          <w:szCs w:val="22"/>
        </w:rPr>
        <w:t>Q2</w:t>
      </w:r>
      <w:r>
        <w:rPr>
          <w:bCs/>
          <w:color w:val="000000"/>
          <w:sz w:val="22"/>
          <w:szCs w:val="22"/>
        </w:rPr>
        <w:t xml:space="preserve"> 2017</w:t>
      </w:r>
      <w:r w:rsidRPr="00A7353F">
        <w:rPr>
          <w:bCs/>
          <w:color w:val="000000"/>
          <w:sz w:val="22"/>
          <w:szCs w:val="22"/>
        </w:rPr>
        <w:t xml:space="preserve">. </w:t>
      </w:r>
      <w:r>
        <w:rPr>
          <w:bCs/>
          <w:color w:val="000000"/>
          <w:sz w:val="22"/>
          <w:szCs w:val="22"/>
        </w:rPr>
        <w:t>Net sales of equity funds amounted to EUR 3</w:t>
      </w:r>
      <w:r w:rsidR="00AA6EE4">
        <w:rPr>
          <w:bCs/>
          <w:color w:val="000000"/>
          <w:sz w:val="22"/>
          <w:szCs w:val="22"/>
        </w:rPr>
        <w:t>9 billion, compared to EUR 35</w:t>
      </w:r>
      <w:r>
        <w:rPr>
          <w:bCs/>
          <w:color w:val="000000"/>
          <w:sz w:val="22"/>
          <w:szCs w:val="22"/>
        </w:rPr>
        <w:t xml:space="preserve"> billion in </w:t>
      </w:r>
      <w:r w:rsidR="00DB7708">
        <w:rPr>
          <w:bCs/>
          <w:color w:val="000000"/>
          <w:sz w:val="22"/>
          <w:szCs w:val="22"/>
        </w:rPr>
        <w:t>Q2</w:t>
      </w:r>
      <w:r>
        <w:rPr>
          <w:bCs/>
          <w:color w:val="000000"/>
          <w:sz w:val="22"/>
          <w:szCs w:val="22"/>
        </w:rPr>
        <w:t xml:space="preserve"> 2017. Ne</w:t>
      </w:r>
      <w:r w:rsidRPr="00A7353F">
        <w:rPr>
          <w:bCs/>
          <w:color w:val="000000"/>
          <w:sz w:val="22"/>
          <w:szCs w:val="22"/>
        </w:rPr>
        <w:t>t sales of multi-asset funds</w:t>
      </w:r>
      <w:r w:rsidR="00AA6EE4">
        <w:rPr>
          <w:bCs/>
          <w:color w:val="000000"/>
          <w:sz w:val="22"/>
          <w:szCs w:val="22"/>
        </w:rPr>
        <w:t xml:space="preserve"> decreased from EUR 54</w:t>
      </w:r>
      <w:r>
        <w:rPr>
          <w:bCs/>
          <w:color w:val="000000"/>
          <w:sz w:val="22"/>
          <w:szCs w:val="22"/>
        </w:rPr>
        <w:t xml:space="preserve"> billion in </w:t>
      </w:r>
      <w:r w:rsidR="00DB7708">
        <w:rPr>
          <w:bCs/>
          <w:color w:val="000000"/>
          <w:sz w:val="22"/>
          <w:szCs w:val="22"/>
        </w:rPr>
        <w:t>Q2</w:t>
      </w:r>
      <w:r w:rsidR="00E57272">
        <w:rPr>
          <w:bCs/>
          <w:color w:val="000000"/>
          <w:sz w:val="22"/>
          <w:szCs w:val="22"/>
        </w:rPr>
        <w:t xml:space="preserve"> 2017</w:t>
      </w:r>
      <w:r w:rsidR="00AA6EE4">
        <w:rPr>
          <w:bCs/>
          <w:color w:val="000000"/>
          <w:sz w:val="22"/>
          <w:szCs w:val="22"/>
        </w:rPr>
        <w:t xml:space="preserve"> to EUR 43</w:t>
      </w:r>
      <w:r>
        <w:rPr>
          <w:bCs/>
          <w:color w:val="000000"/>
          <w:sz w:val="22"/>
          <w:szCs w:val="22"/>
        </w:rPr>
        <w:t xml:space="preserve"> billion in </w:t>
      </w:r>
      <w:r w:rsidR="00DB7708">
        <w:rPr>
          <w:bCs/>
          <w:color w:val="000000"/>
          <w:sz w:val="22"/>
          <w:szCs w:val="22"/>
        </w:rPr>
        <w:t>Q3</w:t>
      </w:r>
      <w:r>
        <w:rPr>
          <w:bCs/>
          <w:color w:val="000000"/>
          <w:sz w:val="22"/>
          <w:szCs w:val="22"/>
        </w:rPr>
        <w:t xml:space="preserve"> 2017. </w:t>
      </w:r>
      <w:r w:rsidRPr="00A7353F">
        <w:rPr>
          <w:bCs/>
          <w:color w:val="000000"/>
          <w:sz w:val="22"/>
          <w:szCs w:val="22"/>
        </w:rPr>
        <w:t xml:space="preserve">Net sales of bond </w:t>
      </w:r>
      <w:r w:rsidR="00AA6EE4">
        <w:rPr>
          <w:bCs/>
          <w:color w:val="000000"/>
          <w:sz w:val="22"/>
          <w:szCs w:val="22"/>
        </w:rPr>
        <w:t>decreased from EUR 93</w:t>
      </w:r>
      <w:r>
        <w:rPr>
          <w:bCs/>
          <w:color w:val="000000"/>
          <w:sz w:val="22"/>
          <w:szCs w:val="22"/>
        </w:rPr>
        <w:t xml:space="preserve"> billion in </w:t>
      </w:r>
      <w:r w:rsidR="00DB7708">
        <w:rPr>
          <w:bCs/>
          <w:color w:val="000000"/>
          <w:sz w:val="22"/>
          <w:szCs w:val="22"/>
        </w:rPr>
        <w:t>Q2</w:t>
      </w:r>
      <w:r w:rsidR="00AA6EE4">
        <w:rPr>
          <w:bCs/>
          <w:color w:val="000000"/>
          <w:sz w:val="22"/>
          <w:szCs w:val="22"/>
        </w:rPr>
        <w:t xml:space="preserve"> to EUR 72</w:t>
      </w:r>
      <w:r>
        <w:rPr>
          <w:bCs/>
          <w:color w:val="000000"/>
          <w:sz w:val="22"/>
          <w:szCs w:val="22"/>
        </w:rPr>
        <w:t xml:space="preserve"> billion in </w:t>
      </w:r>
      <w:r w:rsidR="00DB7708">
        <w:rPr>
          <w:bCs/>
          <w:color w:val="000000"/>
          <w:sz w:val="22"/>
          <w:szCs w:val="22"/>
        </w:rPr>
        <w:t>Q3</w:t>
      </w:r>
      <w:r>
        <w:rPr>
          <w:bCs/>
          <w:color w:val="000000"/>
          <w:sz w:val="22"/>
          <w:szCs w:val="22"/>
        </w:rPr>
        <w:t xml:space="preserve"> 2017. Net sales of money market fund</w:t>
      </w:r>
      <w:r w:rsidR="000B2912">
        <w:rPr>
          <w:bCs/>
          <w:color w:val="000000"/>
          <w:sz w:val="22"/>
          <w:szCs w:val="22"/>
        </w:rPr>
        <w:t>s</w:t>
      </w:r>
      <w:r>
        <w:rPr>
          <w:bCs/>
          <w:color w:val="000000"/>
          <w:sz w:val="22"/>
          <w:szCs w:val="22"/>
        </w:rPr>
        <w:t xml:space="preserve"> saw a reversal in </w:t>
      </w:r>
      <w:r w:rsidR="000F4E8E">
        <w:rPr>
          <w:bCs/>
          <w:color w:val="000000"/>
          <w:sz w:val="22"/>
          <w:szCs w:val="22"/>
        </w:rPr>
        <w:t xml:space="preserve">net </w:t>
      </w:r>
      <w:r w:rsidR="00AA6EE4">
        <w:rPr>
          <w:bCs/>
          <w:color w:val="000000"/>
          <w:sz w:val="22"/>
          <w:szCs w:val="22"/>
        </w:rPr>
        <w:t>flows, increasing from net outflows of EUR 13</w:t>
      </w:r>
      <w:r>
        <w:rPr>
          <w:bCs/>
          <w:color w:val="000000"/>
          <w:sz w:val="22"/>
          <w:szCs w:val="22"/>
        </w:rPr>
        <w:t xml:space="preserve"> billion in </w:t>
      </w:r>
      <w:r w:rsidR="00DB7708">
        <w:rPr>
          <w:bCs/>
          <w:color w:val="000000"/>
          <w:sz w:val="22"/>
          <w:szCs w:val="22"/>
        </w:rPr>
        <w:t>Q2</w:t>
      </w:r>
      <w:r w:rsidR="00AA6EE4">
        <w:rPr>
          <w:bCs/>
          <w:color w:val="000000"/>
          <w:sz w:val="22"/>
          <w:szCs w:val="22"/>
        </w:rPr>
        <w:t xml:space="preserve"> to net inflows of EUR 3</w:t>
      </w:r>
      <w:r>
        <w:rPr>
          <w:bCs/>
          <w:color w:val="000000"/>
          <w:sz w:val="22"/>
          <w:szCs w:val="22"/>
        </w:rPr>
        <w:t xml:space="preserve">3 billion in </w:t>
      </w:r>
      <w:r w:rsidR="00DB7708">
        <w:rPr>
          <w:bCs/>
          <w:color w:val="000000"/>
          <w:sz w:val="22"/>
          <w:szCs w:val="22"/>
        </w:rPr>
        <w:t>Q3</w:t>
      </w:r>
      <w:r>
        <w:rPr>
          <w:bCs/>
          <w:color w:val="000000"/>
          <w:sz w:val="22"/>
          <w:szCs w:val="22"/>
        </w:rPr>
        <w:t xml:space="preserve"> 2017.  </w:t>
      </w:r>
    </w:p>
    <w:p w:rsidR="001142A5" w:rsidRDefault="004C7355" w:rsidP="001142A5">
      <w:pPr>
        <w:pStyle w:val="Footer"/>
        <w:tabs>
          <w:tab w:val="left" w:pos="720"/>
          <w:tab w:val="left" w:pos="4320"/>
        </w:tabs>
        <w:spacing w:line="260" w:lineRule="exact"/>
        <w:jc w:val="both"/>
        <w:rPr>
          <w:bCs/>
          <w:color w:val="000000"/>
          <w:sz w:val="22"/>
          <w:szCs w:val="22"/>
        </w:rPr>
      </w:pPr>
      <w:r>
        <w:rPr>
          <w:noProof/>
          <w:lang w:val="nl-BE" w:eastAsia="nl-BE"/>
        </w:rPr>
        <w:drawing>
          <wp:anchor distT="0" distB="0" distL="114300" distR="114300" simplePos="0" relativeHeight="251650048" behindDoc="0" locked="0" layoutInCell="1" allowOverlap="1">
            <wp:simplePos x="0" y="0"/>
            <wp:positionH relativeFrom="column">
              <wp:posOffset>-234315</wp:posOffset>
            </wp:positionH>
            <wp:positionV relativeFrom="paragraph">
              <wp:posOffset>236855</wp:posOffset>
            </wp:positionV>
            <wp:extent cx="3430905" cy="2087880"/>
            <wp:effectExtent l="0" t="0" r="0" b="0"/>
            <wp:wrapNone/>
            <wp:docPr id="2468" name="Picture 2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30905" cy="2087880"/>
                    </a:xfrm>
                    <a:prstGeom prst="rect">
                      <a:avLst/>
                    </a:prstGeom>
                    <a:noFill/>
                  </pic:spPr>
                </pic:pic>
              </a:graphicData>
            </a:graphic>
            <wp14:sizeRelH relativeFrom="page">
              <wp14:pctWidth>0</wp14:pctWidth>
            </wp14:sizeRelH>
            <wp14:sizeRelV relativeFrom="page">
              <wp14:pctHeight>0</wp14:pctHeight>
            </wp14:sizeRelV>
          </wp:anchor>
        </w:drawing>
      </w:r>
    </w:p>
    <w:p w:rsidR="001142A5" w:rsidRPr="00955553" w:rsidRDefault="004C7355" w:rsidP="001142A5">
      <w:pPr>
        <w:pStyle w:val="Footer"/>
        <w:tabs>
          <w:tab w:val="left" w:pos="720"/>
          <w:tab w:val="left" w:pos="4320"/>
        </w:tabs>
        <w:spacing w:line="260" w:lineRule="exact"/>
        <w:jc w:val="right"/>
        <w:rPr>
          <w:bCs/>
          <w:color w:val="000000"/>
          <w:sz w:val="22"/>
          <w:szCs w:val="22"/>
        </w:rPr>
      </w:pPr>
      <w:r>
        <w:rPr>
          <w:noProof/>
          <w:lang w:val="nl-BE" w:eastAsia="nl-BE"/>
        </w:rPr>
        <w:drawing>
          <wp:anchor distT="0" distB="0" distL="114300" distR="114300" simplePos="0" relativeHeight="251651072" behindDoc="0" locked="0" layoutInCell="1" allowOverlap="1">
            <wp:simplePos x="0" y="0"/>
            <wp:positionH relativeFrom="column">
              <wp:posOffset>3384550</wp:posOffset>
            </wp:positionH>
            <wp:positionV relativeFrom="paragraph">
              <wp:posOffset>85090</wp:posOffset>
            </wp:positionV>
            <wp:extent cx="3409315" cy="2074545"/>
            <wp:effectExtent l="0" t="0" r="0" b="0"/>
            <wp:wrapNone/>
            <wp:docPr id="2469" name="Picture 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09315" cy="2074545"/>
                    </a:xfrm>
                    <a:prstGeom prst="rect">
                      <a:avLst/>
                    </a:prstGeom>
                    <a:noFill/>
                  </pic:spPr>
                </pic:pic>
              </a:graphicData>
            </a:graphic>
            <wp14:sizeRelH relativeFrom="page">
              <wp14:pctWidth>0</wp14:pctWidth>
            </wp14:sizeRelH>
            <wp14:sizeRelV relativeFrom="page">
              <wp14:pctHeight>0</wp14:pctHeight>
            </wp14:sizeRelV>
          </wp:anchor>
        </w:drawing>
      </w:r>
    </w:p>
    <w:p w:rsidR="001142A5" w:rsidRPr="004C7355" w:rsidRDefault="001142A5" w:rsidP="001142A5">
      <w:pPr>
        <w:pStyle w:val="Footer"/>
        <w:jc w:val="center"/>
        <w:rPr>
          <w:b/>
          <w:bCs/>
          <w:iCs/>
          <w:sz w:val="28"/>
          <w:szCs w:val="28"/>
          <w:lang w:val="en-US"/>
          <w14:shadow w14:blurRad="50800" w14:dist="38100" w14:dir="2700000" w14:sx="100000" w14:sy="100000" w14:kx="0" w14:ky="0" w14:algn="tl">
            <w14:srgbClr w14:val="000000">
              <w14:alpha w14:val="60000"/>
            </w14:srgbClr>
          </w14:shadow>
        </w:rPr>
      </w:pPr>
    </w:p>
    <w:p w:rsidR="001142A5" w:rsidRPr="004C7355" w:rsidRDefault="001142A5" w:rsidP="001142A5">
      <w:pPr>
        <w:pStyle w:val="Footer"/>
        <w:jc w:val="center"/>
        <w:outlineLvl w:val="0"/>
        <w:rPr>
          <w:b/>
          <w:bCs/>
          <w:iCs/>
          <w:sz w:val="28"/>
          <w:szCs w:val="28"/>
          <w:lang w:val="en-US"/>
          <w14:shadow w14:blurRad="50800" w14:dist="38100" w14:dir="2700000" w14:sx="100000" w14:sy="100000" w14:kx="0" w14:ky="0" w14:algn="tl">
            <w14:srgbClr w14:val="000000">
              <w14:alpha w14:val="60000"/>
            </w14:srgbClr>
          </w14:shadow>
        </w:rPr>
      </w:pPr>
    </w:p>
    <w:p w:rsidR="001142A5" w:rsidRPr="009F698C" w:rsidRDefault="001142A5" w:rsidP="001142A5"/>
    <w:p w:rsidR="001142A5" w:rsidRPr="009F698C" w:rsidRDefault="001142A5" w:rsidP="001142A5"/>
    <w:p w:rsidR="001142A5" w:rsidRPr="009F698C" w:rsidRDefault="001142A5" w:rsidP="001142A5"/>
    <w:p w:rsidR="001142A5" w:rsidRPr="009F698C" w:rsidRDefault="001142A5" w:rsidP="001142A5"/>
    <w:p w:rsidR="001142A5" w:rsidRPr="009F698C" w:rsidRDefault="001142A5" w:rsidP="001142A5"/>
    <w:p w:rsidR="001142A5" w:rsidRPr="009F698C" w:rsidRDefault="001142A5" w:rsidP="001142A5"/>
    <w:p w:rsidR="001142A5" w:rsidRPr="009F698C" w:rsidRDefault="001142A5" w:rsidP="001142A5"/>
    <w:p w:rsidR="001142A5" w:rsidRPr="009F698C" w:rsidRDefault="001142A5" w:rsidP="001142A5"/>
    <w:p w:rsidR="001142A5" w:rsidRPr="009F698C" w:rsidRDefault="001142A5" w:rsidP="001142A5"/>
    <w:p w:rsidR="001142A5" w:rsidRPr="009F698C" w:rsidRDefault="004A0BB0" w:rsidP="001142A5">
      <w:r>
        <w:rPr>
          <w:noProof/>
          <w:lang w:val="nl-BE" w:eastAsia="nl-BE"/>
        </w:rPr>
        <w:drawing>
          <wp:anchor distT="0" distB="0" distL="114300" distR="114300" simplePos="0" relativeHeight="251653120" behindDoc="0" locked="0" layoutInCell="1" allowOverlap="1">
            <wp:simplePos x="0" y="0"/>
            <wp:positionH relativeFrom="column">
              <wp:posOffset>3470275</wp:posOffset>
            </wp:positionH>
            <wp:positionV relativeFrom="paragraph">
              <wp:posOffset>104140</wp:posOffset>
            </wp:positionV>
            <wp:extent cx="3138170" cy="2128520"/>
            <wp:effectExtent l="0" t="0" r="0" b="5080"/>
            <wp:wrapNone/>
            <wp:docPr id="2471" name="Picture 2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38170" cy="2128520"/>
                    </a:xfrm>
                    <a:prstGeom prst="rect">
                      <a:avLst/>
                    </a:prstGeom>
                    <a:noFill/>
                  </pic:spPr>
                </pic:pic>
              </a:graphicData>
            </a:graphic>
            <wp14:sizeRelH relativeFrom="page">
              <wp14:pctWidth>0</wp14:pctWidth>
            </wp14:sizeRelH>
            <wp14:sizeRelV relativeFrom="page">
              <wp14:pctHeight>0</wp14:pctHeight>
            </wp14:sizeRelV>
          </wp:anchor>
        </w:drawing>
      </w:r>
      <w:r w:rsidR="004C7355">
        <w:rPr>
          <w:noProof/>
          <w:lang w:val="nl-BE" w:eastAsia="nl-BE"/>
        </w:rPr>
        <w:drawing>
          <wp:anchor distT="0" distB="0" distL="114300" distR="114300" simplePos="0" relativeHeight="251652096" behindDoc="0" locked="0" layoutInCell="1" allowOverlap="1">
            <wp:simplePos x="0" y="0"/>
            <wp:positionH relativeFrom="column">
              <wp:posOffset>-244475</wp:posOffset>
            </wp:positionH>
            <wp:positionV relativeFrom="paragraph">
              <wp:posOffset>79375</wp:posOffset>
            </wp:positionV>
            <wp:extent cx="3275965" cy="2221230"/>
            <wp:effectExtent l="0" t="0" r="0" b="0"/>
            <wp:wrapNone/>
            <wp:docPr id="2470" name="Picture 2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75965" cy="2221230"/>
                    </a:xfrm>
                    <a:prstGeom prst="rect">
                      <a:avLst/>
                    </a:prstGeom>
                    <a:noFill/>
                  </pic:spPr>
                </pic:pic>
              </a:graphicData>
            </a:graphic>
            <wp14:sizeRelH relativeFrom="page">
              <wp14:pctWidth>0</wp14:pctWidth>
            </wp14:sizeRelH>
            <wp14:sizeRelV relativeFrom="page">
              <wp14:pctHeight>0</wp14:pctHeight>
            </wp14:sizeRelV>
          </wp:anchor>
        </w:drawing>
      </w:r>
    </w:p>
    <w:p w:rsidR="001142A5" w:rsidRPr="009F698C" w:rsidRDefault="001142A5" w:rsidP="001142A5"/>
    <w:p w:rsidR="001142A5" w:rsidRPr="009F698C" w:rsidRDefault="001142A5" w:rsidP="001142A5"/>
    <w:p w:rsidR="001142A5" w:rsidRPr="009F698C" w:rsidRDefault="001142A5" w:rsidP="001142A5"/>
    <w:p w:rsidR="001142A5" w:rsidRPr="009F698C" w:rsidRDefault="001142A5" w:rsidP="001142A5"/>
    <w:p w:rsidR="001142A5" w:rsidRPr="009F698C" w:rsidRDefault="001142A5" w:rsidP="001142A5"/>
    <w:p w:rsidR="001142A5" w:rsidRPr="009F698C" w:rsidRDefault="001142A5" w:rsidP="001142A5"/>
    <w:p w:rsidR="001142A5" w:rsidRDefault="001142A5" w:rsidP="001142A5">
      <w:pPr>
        <w:pStyle w:val="Footer"/>
        <w:jc w:val="center"/>
        <w:outlineLvl w:val="0"/>
      </w:pPr>
    </w:p>
    <w:p w:rsidR="001142A5" w:rsidRDefault="001142A5" w:rsidP="001142A5">
      <w:pPr>
        <w:pStyle w:val="Footer"/>
        <w:jc w:val="center"/>
        <w:outlineLvl w:val="0"/>
      </w:pPr>
    </w:p>
    <w:p w:rsidR="001142A5" w:rsidRDefault="001142A5" w:rsidP="001142A5">
      <w:pPr>
        <w:pStyle w:val="Footer"/>
        <w:tabs>
          <w:tab w:val="clear" w:pos="8640"/>
          <w:tab w:val="left" w:pos="5040"/>
          <w:tab w:val="left" w:pos="5760"/>
          <w:tab w:val="left" w:pos="6480"/>
          <w:tab w:val="left" w:pos="7200"/>
        </w:tabs>
        <w:outlineLvl w:val="0"/>
      </w:pPr>
      <w:r>
        <w:tab/>
      </w:r>
      <w:r>
        <w:tab/>
      </w:r>
      <w:r>
        <w:tab/>
      </w:r>
      <w:r>
        <w:tab/>
      </w:r>
      <w:r>
        <w:tab/>
      </w:r>
      <w:r>
        <w:tab/>
      </w:r>
    </w:p>
    <w:p w:rsidR="001142A5" w:rsidRPr="004C7355" w:rsidRDefault="004A0BB0" w:rsidP="001142A5">
      <w:pPr>
        <w:pStyle w:val="Footer"/>
        <w:jc w:val="center"/>
        <w:outlineLvl w:val="0"/>
        <w:rPr>
          <w:b/>
          <w:bCs/>
          <w:iCs/>
          <w:sz w:val="28"/>
          <w:szCs w:val="28"/>
          <w:lang w:val="en-US"/>
          <w14:shadow w14:blurRad="50800" w14:dist="38100" w14:dir="2700000" w14:sx="100000" w14:sy="100000" w14:kx="0" w14:ky="0" w14:algn="tl">
            <w14:srgbClr w14:val="000000">
              <w14:alpha w14:val="60000"/>
            </w14:srgbClr>
          </w14:shadow>
        </w:rPr>
      </w:pPr>
      <w:r>
        <w:rPr>
          <w:noProof/>
          <w:lang w:val="nl-BE" w:eastAsia="nl-BE"/>
        </w:rPr>
        <w:drawing>
          <wp:anchor distT="0" distB="0" distL="114300" distR="114300" simplePos="0" relativeHeight="251655168" behindDoc="0" locked="0" layoutInCell="1" allowOverlap="1">
            <wp:simplePos x="0" y="0"/>
            <wp:positionH relativeFrom="column">
              <wp:posOffset>3460750</wp:posOffset>
            </wp:positionH>
            <wp:positionV relativeFrom="paragraph">
              <wp:posOffset>754380</wp:posOffset>
            </wp:positionV>
            <wp:extent cx="3185795" cy="2160270"/>
            <wp:effectExtent l="0" t="0" r="0" b="0"/>
            <wp:wrapNone/>
            <wp:docPr id="2473" name="Picture 2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85795" cy="2160270"/>
                    </a:xfrm>
                    <a:prstGeom prst="rect">
                      <a:avLst/>
                    </a:prstGeom>
                    <a:noFill/>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654144" behindDoc="0" locked="0" layoutInCell="1" allowOverlap="1">
            <wp:simplePos x="0" y="0"/>
            <wp:positionH relativeFrom="column">
              <wp:posOffset>-114300</wp:posOffset>
            </wp:positionH>
            <wp:positionV relativeFrom="paragraph">
              <wp:posOffset>766445</wp:posOffset>
            </wp:positionV>
            <wp:extent cx="3148965" cy="2134870"/>
            <wp:effectExtent l="0" t="0" r="0" b="0"/>
            <wp:wrapNone/>
            <wp:docPr id="2472" name="Picture 2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48965" cy="2134870"/>
                    </a:xfrm>
                    <a:prstGeom prst="rect">
                      <a:avLst/>
                    </a:prstGeom>
                    <a:noFill/>
                  </pic:spPr>
                </pic:pic>
              </a:graphicData>
            </a:graphic>
            <wp14:sizeRelH relativeFrom="page">
              <wp14:pctWidth>0</wp14:pctWidth>
            </wp14:sizeRelH>
            <wp14:sizeRelV relativeFrom="page">
              <wp14:pctHeight>0</wp14:pctHeight>
            </wp14:sizeRelV>
          </wp:anchor>
        </w:drawing>
      </w:r>
      <w:r w:rsidR="001142A5" w:rsidRPr="009F698C">
        <w:br w:type="page"/>
      </w:r>
      <w:bookmarkStart w:id="0" w:name="OLE_LINK3"/>
      <w:r w:rsidR="001142A5" w:rsidRPr="004C7355">
        <w:rPr>
          <w:b/>
          <w:bCs/>
          <w:iCs/>
          <w:sz w:val="28"/>
          <w:szCs w:val="28"/>
          <w:lang w:val="en-US"/>
          <w14:shadow w14:blurRad="50800" w14:dist="38100" w14:dir="2700000" w14:sx="100000" w14:sy="100000" w14:kx="0" w14:ky="0" w14:algn="tl">
            <w14:srgbClr w14:val="000000">
              <w14:alpha w14:val="60000"/>
            </w14:srgbClr>
          </w14:shadow>
        </w:rPr>
        <w:lastRenderedPageBreak/>
        <w:t>Trends in the UCITS Market</w:t>
      </w:r>
    </w:p>
    <w:p w:rsidR="001142A5" w:rsidRDefault="001142A5" w:rsidP="001142A5">
      <w:pPr>
        <w:pStyle w:val="Footer"/>
        <w:jc w:val="center"/>
        <w:rPr>
          <w:b/>
          <w:bCs/>
          <w:i/>
          <w:iCs/>
          <w:sz w:val="16"/>
          <w:szCs w:val="16"/>
          <w:lang w:val="en-US"/>
        </w:rPr>
      </w:pPr>
      <w:r w:rsidRPr="004C7355">
        <w:rPr>
          <w:b/>
          <w:bCs/>
          <w:i/>
          <w:iCs/>
          <w:sz w:val="28"/>
          <w:szCs w:val="28"/>
          <w:lang w:val="en-US"/>
          <w14:shadow w14:blurRad="50800" w14:dist="38100" w14:dir="2700000" w14:sx="100000" w14:sy="100000" w14:kx="0" w14:ky="0" w14:algn="tl">
            <w14:srgbClr w14:val="000000">
              <w14:alpha w14:val="60000"/>
            </w14:srgbClr>
          </w14:shadow>
        </w:rPr>
        <w:t>Net Sales by Country of Domiciliation and Investment Type</w:t>
      </w:r>
    </w:p>
    <w:p w:rsidR="001142A5" w:rsidRDefault="001142A5" w:rsidP="001142A5">
      <w:pPr>
        <w:spacing w:line="260" w:lineRule="atLeast"/>
        <w:jc w:val="both"/>
        <w:rPr>
          <w:b/>
          <w:color w:val="0000FF"/>
          <w:sz w:val="22"/>
          <w:szCs w:val="22"/>
          <w:lang w:eastAsia="fr-FR"/>
        </w:rPr>
      </w:pPr>
    </w:p>
    <w:p w:rsidR="001142A5" w:rsidRDefault="002C410A" w:rsidP="001142A5">
      <w:pPr>
        <w:spacing w:line="260" w:lineRule="atLeast"/>
        <w:jc w:val="both"/>
        <w:rPr>
          <w:b/>
          <w:color w:val="0000FF"/>
          <w:sz w:val="22"/>
          <w:szCs w:val="22"/>
          <w:lang w:eastAsia="fr-FR"/>
        </w:rPr>
      </w:pPr>
      <w:r>
        <w:rPr>
          <w:b/>
          <w:color w:val="0000FF"/>
          <w:sz w:val="22"/>
          <w:szCs w:val="22"/>
          <w:lang w:eastAsia="fr-FR"/>
        </w:rPr>
        <w:t>Twenty-six</w:t>
      </w:r>
      <w:r w:rsidR="001142A5">
        <w:rPr>
          <w:b/>
          <w:color w:val="0000FF"/>
          <w:sz w:val="22"/>
          <w:szCs w:val="22"/>
          <w:lang w:eastAsia="fr-FR"/>
        </w:rPr>
        <w:t xml:space="preserve"> countries registered</w:t>
      </w:r>
      <w:r w:rsidR="001142A5" w:rsidRPr="00783D39">
        <w:rPr>
          <w:b/>
          <w:color w:val="0000FF"/>
          <w:sz w:val="22"/>
          <w:szCs w:val="22"/>
          <w:lang w:eastAsia="fr-FR"/>
        </w:rPr>
        <w:t xml:space="preserve"> net inflows</w:t>
      </w:r>
      <w:r w:rsidR="001142A5">
        <w:rPr>
          <w:b/>
          <w:color w:val="0000FF"/>
          <w:sz w:val="22"/>
          <w:szCs w:val="22"/>
          <w:lang w:eastAsia="fr-FR"/>
        </w:rPr>
        <w:t xml:space="preserve"> into UCITS in the </w:t>
      </w:r>
      <w:r w:rsidR="00DB7708">
        <w:rPr>
          <w:b/>
          <w:color w:val="0000FF"/>
          <w:sz w:val="22"/>
          <w:szCs w:val="22"/>
          <w:lang w:eastAsia="fr-FR"/>
        </w:rPr>
        <w:t>third</w:t>
      </w:r>
      <w:r w:rsidR="001142A5">
        <w:rPr>
          <w:b/>
          <w:color w:val="0000FF"/>
          <w:sz w:val="22"/>
          <w:szCs w:val="22"/>
          <w:lang w:eastAsia="fr-FR"/>
        </w:rPr>
        <w:t xml:space="preserve"> quarter of 2017, with te</w:t>
      </w:r>
      <w:r w:rsidR="00537E5C">
        <w:rPr>
          <w:b/>
          <w:color w:val="0000FF"/>
          <w:sz w:val="22"/>
          <w:szCs w:val="22"/>
          <w:lang w:eastAsia="fr-FR"/>
        </w:rPr>
        <w:t>n countries recording net sales</w:t>
      </w:r>
      <w:r w:rsidR="001142A5">
        <w:rPr>
          <w:b/>
          <w:color w:val="0000FF"/>
          <w:sz w:val="22"/>
          <w:szCs w:val="22"/>
          <w:lang w:eastAsia="fr-FR"/>
        </w:rPr>
        <w:t xml:space="preserve"> above EUR 1 billion.</w:t>
      </w:r>
    </w:p>
    <w:p w:rsidR="001142A5" w:rsidRDefault="001142A5" w:rsidP="001142A5">
      <w:pPr>
        <w:spacing w:line="260" w:lineRule="atLeast"/>
        <w:jc w:val="both"/>
        <w:rPr>
          <w:b/>
          <w:color w:val="0000FF"/>
          <w:sz w:val="22"/>
          <w:szCs w:val="22"/>
          <w:lang w:eastAsia="fr-FR"/>
        </w:rPr>
      </w:pPr>
    </w:p>
    <w:p w:rsidR="001142A5" w:rsidRDefault="001142A5" w:rsidP="001142A5">
      <w:pPr>
        <w:spacing w:line="260" w:lineRule="atLeast"/>
        <w:jc w:val="both"/>
        <w:rPr>
          <w:sz w:val="22"/>
          <w:szCs w:val="22"/>
          <w:lang w:eastAsia="fr-FR"/>
        </w:rPr>
      </w:pPr>
      <w:r>
        <w:rPr>
          <w:sz w:val="22"/>
          <w:szCs w:val="22"/>
          <w:lang w:eastAsia="fr-FR"/>
        </w:rPr>
        <w:t xml:space="preserve">The </w:t>
      </w:r>
      <w:r w:rsidR="0047341B">
        <w:rPr>
          <w:sz w:val="22"/>
          <w:szCs w:val="22"/>
          <w:lang w:eastAsia="fr-FR"/>
        </w:rPr>
        <w:t xml:space="preserve">five domiciles with the </w:t>
      </w:r>
      <w:r>
        <w:rPr>
          <w:sz w:val="22"/>
          <w:szCs w:val="22"/>
          <w:lang w:eastAsia="fr-FR"/>
        </w:rPr>
        <w:t xml:space="preserve">largest net </w:t>
      </w:r>
      <w:r w:rsidR="00537E5C">
        <w:rPr>
          <w:sz w:val="22"/>
          <w:szCs w:val="22"/>
          <w:lang w:eastAsia="fr-FR"/>
        </w:rPr>
        <w:t>sales</w:t>
      </w:r>
      <w:r>
        <w:rPr>
          <w:sz w:val="22"/>
          <w:szCs w:val="22"/>
          <w:lang w:eastAsia="fr-FR"/>
        </w:rPr>
        <w:t xml:space="preserve"> into UCITS were </w:t>
      </w:r>
      <w:r w:rsidR="00400550" w:rsidRPr="00400550">
        <w:rPr>
          <w:sz w:val="22"/>
          <w:szCs w:val="22"/>
          <w:lang w:eastAsia="fr-FR"/>
        </w:rPr>
        <w:t xml:space="preserve">Luxembourg </w:t>
      </w:r>
      <w:r w:rsidR="002C410A">
        <w:rPr>
          <w:sz w:val="22"/>
          <w:szCs w:val="22"/>
          <w:lang w:eastAsia="fr-FR"/>
        </w:rPr>
        <w:t>(EUR 75</w:t>
      </w:r>
      <w:r w:rsidR="000B2912">
        <w:rPr>
          <w:sz w:val="22"/>
          <w:szCs w:val="22"/>
          <w:lang w:eastAsia="fr-FR"/>
        </w:rPr>
        <w:t>.3</w:t>
      </w:r>
      <w:r>
        <w:rPr>
          <w:sz w:val="22"/>
          <w:szCs w:val="22"/>
          <w:lang w:eastAsia="fr-FR"/>
        </w:rPr>
        <w:t xml:space="preserve"> bil</w:t>
      </w:r>
      <w:r w:rsidR="002C410A">
        <w:rPr>
          <w:sz w:val="22"/>
          <w:szCs w:val="22"/>
          <w:lang w:eastAsia="fr-FR"/>
        </w:rPr>
        <w:t>lion), f</w:t>
      </w:r>
      <w:r>
        <w:rPr>
          <w:sz w:val="22"/>
          <w:szCs w:val="22"/>
          <w:lang w:eastAsia="fr-FR"/>
        </w:rPr>
        <w:t xml:space="preserve">ollowed by </w:t>
      </w:r>
      <w:r w:rsidR="00400550" w:rsidRPr="00400550">
        <w:rPr>
          <w:sz w:val="22"/>
          <w:szCs w:val="22"/>
          <w:lang w:eastAsia="fr-FR"/>
        </w:rPr>
        <w:t xml:space="preserve">Ireland </w:t>
      </w:r>
      <w:r>
        <w:rPr>
          <w:sz w:val="22"/>
          <w:szCs w:val="22"/>
          <w:lang w:eastAsia="fr-FR"/>
        </w:rPr>
        <w:t xml:space="preserve">(EUR </w:t>
      </w:r>
      <w:r w:rsidR="002C410A">
        <w:rPr>
          <w:sz w:val="22"/>
          <w:szCs w:val="22"/>
          <w:lang w:eastAsia="fr-FR"/>
        </w:rPr>
        <w:t>51</w:t>
      </w:r>
      <w:r w:rsidR="000B2912">
        <w:rPr>
          <w:sz w:val="22"/>
          <w:szCs w:val="22"/>
          <w:lang w:eastAsia="fr-FR"/>
        </w:rPr>
        <w:t>.3</w:t>
      </w:r>
      <w:r>
        <w:rPr>
          <w:sz w:val="22"/>
          <w:szCs w:val="22"/>
          <w:lang w:eastAsia="fr-FR"/>
        </w:rPr>
        <w:t xml:space="preserve"> billion)</w:t>
      </w:r>
      <w:r w:rsidR="004A0BB0">
        <w:rPr>
          <w:sz w:val="22"/>
          <w:szCs w:val="22"/>
          <w:lang w:eastAsia="fr-FR"/>
        </w:rPr>
        <w:t xml:space="preserve">, </w:t>
      </w:r>
      <w:r w:rsidR="00A70476">
        <w:rPr>
          <w:sz w:val="22"/>
          <w:szCs w:val="22"/>
          <w:lang w:eastAsia="fr-FR"/>
        </w:rPr>
        <w:t xml:space="preserve">France </w:t>
      </w:r>
      <w:r w:rsidR="004A0BB0">
        <w:rPr>
          <w:sz w:val="22"/>
          <w:szCs w:val="22"/>
          <w:lang w:eastAsia="fr-FR"/>
        </w:rPr>
        <w:t>(</w:t>
      </w:r>
      <w:r w:rsidR="00A70476">
        <w:rPr>
          <w:sz w:val="22"/>
          <w:szCs w:val="22"/>
          <w:lang w:eastAsia="fr-FR"/>
        </w:rPr>
        <w:t>EUR 25</w:t>
      </w:r>
      <w:r w:rsidR="000B2912">
        <w:rPr>
          <w:sz w:val="22"/>
          <w:szCs w:val="22"/>
          <w:lang w:eastAsia="fr-FR"/>
        </w:rPr>
        <w:t>.4</w:t>
      </w:r>
      <w:r w:rsidR="00A70476">
        <w:rPr>
          <w:sz w:val="22"/>
          <w:szCs w:val="22"/>
          <w:lang w:eastAsia="fr-FR"/>
        </w:rPr>
        <w:t xml:space="preserve"> billion</w:t>
      </w:r>
      <w:r w:rsidR="004A0BB0">
        <w:rPr>
          <w:sz w:val="22"/>
          <w:szCs w:val="22"/>
          <w:lang w:eastAsia="fr-FR"/>
        </w:rPr>
        <w:t>)</w:t>
      </w:r>
      <w:r w:rsidR="00A70476">
        <w:rPr>
          <w:sz w:val="22"/>
          <w:szCs w:val="22"/>
          <w:lang w:eastAsia="fr-FR"/>
        </w:rPr>
        <w:t>,</w:t>
      </w:r>
      <w:r w:rsidR="004A0BB0">
        <w:rPr>
          <w:sz w:val="22"/>
          <w:szCs w:val="22"/>
          <w:lang w:eastAsia="fr-FR"/>
        </w:rPr>
        <w:t xml:space="preserve"> </w:t>
      </w:r>
      <w:r w:rsidR="00A70476">
        <w:rPr>
          <w:sz w:val="22"/>
          <w:szCs w:val="22"/>
          <w:lang w:eastAsia="fr-FR"/>
        </w:rPr>
        <w:t>t</w:t>
      </w:r>
      <w:r>
        <w:rPr>
          <w:sz w:val="22"/>
          <w:szCs w:val="22"/>
          <w:lang w:eastAsia="fr-FR"/>
        </w:rPr>
        <w:t>he United Kingdom</w:t>
      </w:r>
      <w:r w:rsidR="00A70476">
        <w:rPr>
          <w:sz w:val="22"/>
          <w:szCs w:val="22"/>
          <w:lang w:eastAsia="fr-FR"/>
        </w:rPr>
        <w:t xml:space="preserve"> (EUR 12</w:t>
      </w:r>
      <w:r w:rsidR="000B2912">
        <w:rPr>
          <w:sz w:val="22"/>
          <w:szCs w:val="22"/>
          <w:lang w:eastAsia="fr-FR"/>
        </w:rPr>
        <w:t>.5</w:t>
      </w:r>
      <w:r w:rsidR="00A70476">
        <w:rPr>
          <w:sz w:val="22"/>
          <w:szCs w:val="22"/>
          <w:lang w:eastAsia="fr-FR"/>
        </w:rPr>
        <w:t xml:space="preserve"> bn), and Germany (EUR 9</w:t>
      </w:r>
      <w:r w:rsidR="000B2912">
        <w:rPr>
          <w:sz w:val="22"/>
          <w:szCs w:val="22"/>
          <w:lang w:eastAsia="fr-FR"/>
        </w:rPr>
        <w:t>.4</w:t>
      </w:r>
      <w:r w:rsidR="00A70476">
        <w:rPr>
          <w:sz w:val="22"/>
          <w:szCs w:val="22"/>
          <w:lang w:eastAsia="fr-FR"/>
        </w:rPr>
        <w:t xml:space="preserve"> bn)</w:t>
      </w:r>
      <w:r>
        <w:rPr>
          <w:sz w:val="22"/>
          <w:szCs w:val="22"/>
          <w:lang w:eastAsia="fr-FR"/>
        </w:rPr>
        <w:t xml:space="preserve">. </w:t>
      </w:r>
    </w:p>
    <w:p w:rsidR="001142A5" w:rsidRPr="004C7355" w:rsidRDefault="001142A5" w:rsidP="001142A5">
      <w:pPr>
        <w:pStyle w:val="Footer"/>
        <w:tabs>
          <w:tab w:val="left" w:pos="720"/>
          <w:tab w:val="left" w:pos="3960"/>
          <w:tab w:val="left" w:pos="4320"/>
        </w:tabs>
        <w:spacing w:line="260" w:lineRule="exact"/>
        <w:outlineLvl w:val="0"/>
        <w:rPr>
          <w:b/>
          <w:bCs/>
          <w:sz w:val="28"/>
          <w:szCs w:val="28"/>
          <w:lang w:val="en-US"/>
          <w14:shadow w14:blurRad="50800" w14:dist="38100" w14:dir="2700000" w14:sx="100000" w14:sy="100000" w14:kx="0" w14:ky="0" w14:algn="tl">
            <w14:srgbClr w14:val="000000">
              <w14:alpha w14:val="60000"/>
            </w14:srgbClr>
          </w14:shadow>
        </w:rPr>
      </w:pPr>
    </w:p>
    <w:p w:rsidR="001142A5" w:rsidRPr="004C7355" w:rsidRDefault="00F7552D" w:rsidP="001142A5">
      <w:pPr>
        <w:pStyle w:val="Footer"/>
        <w:jc w:val="center"/>
        <w:outlineLvl w:val="0"/>
        <w:rPr>
          <w:b/>
          <w:bCs/>
          <w:iCs/>
          <w:sz w:val="28"/>
          <w:szCs w:val="28"/>
          <w:lang w:val="en-US"/>
          <w14:shadow w14:blurRad="50800" w14:dist="38100" w14:dir="2700000" w14:sx="100000" w14:sy="100000" w14:kx="0" w14:ky="0" w14:algn="tl">
            <w14:srgbClr w14:val="000000">
              <w14:alpha w14:val="60000"/>
            </w14:srgbClr>
          </w14:shadow>
        </w:rPr>
      </w:pPr>
      <w:r w:rsidRPr="00F7552D">
        <w:rPr>
          <w:noProof/>
          <w:lang w:val="nl-BE" w:eastAsia="nl-BE"/>
        </w:rPr>
        <w:drawing>
          <wp:anchor distT="0" distB="0" distL="114300" distR="114300" simplePos="0" relativeHeight="251705344" behindDoc="0" locked="0" layoutInCell="1" allowOverlap="1">
            <wp:simplePos x="0" y="0"/>
            <wp:positionH relativeFrom="column">
              <wp:posOffset>251</wp:posOffset>
            </wp:positionH>
            <wp:positionV relativeFrom="paragraph">
              <wp:posOffset>4238</wp:posOffset>
            </wp:positionV>
            <wp:extent cx="6264000" cy="5785200"/>
            <wp:effectExtent l="0" t="0" r="3810" b="635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64000" cy="578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42A5" w:rsidRPr="004C7355">
        <w:rPr>
          <w:b/>
          <w:bCs/>
          <w:sz w:val="28"/>
          <w:szCs w:val="28"/>
          <w:lang w:val="en-US"/>
          <w14:shadow w14:blurRad="50800" w14:dist="38100" w14:dir="2700000" w14:sx="100000" w14:sy="100000" w14:kx="0" w14:ky="0" w14:algn="tl">
            <w14:srgbClr w14:val="000000">
              <w14:alpha w14:val="60000"/>
            </w14:srgbClr>
          </w14:shadow>
        </w:rPr>
        <w:br w:type="page"/>
      </w:r>
      <w:r w:rsidR="001142A5" w:rsidRPr="004C7355">
        <w:rPr>
          <w:b/>
          <w:bCs/>
          <w:iCs/>
          <w:sz w:val="28"/>
          <w:szCs w:val="28"/>
          <w:lang w:val="en-US"/>
          <w14:shadow w14:blurRad="50800" w14:dist="38100" w14:dir="2700000" w14:sx="100000" w14:sy="100000" w14:kx="0" w14:ky="0" w14:algn="tl">
            <w14:srgbClr w14:val="000000">
              <w14:alpha w14:val="60000"/>
            </w14:srgbClr>
          </w14:shadow>
        </w:rPr>
        <w:lastRenderedPageBreak/>
        <w:t>Trends in the UCITS Market</w:t>
      </w:r>
    </w:p>
    <w:p w:rsidR="001142A5" w:rsidRDefault="001142A5" w:rsidP="001142A5">
      <w:pPr>
        <w:pStyle w:val="Footer"/>
        <w:jc w:val="center"/>
        <w:rPr>
          <w:b/>
          <w:bCs/>
          <w:i/>
          <w:iCs/>
          <w:sz w:val="16"/>
          <w:szCs w:val="16"/>
          <w:lang w:val="en-US"/>
        </w:rPr>
      </w:pPr>
      <w:r w:rsidRPr="004C7355">
        <w:rPr>
          <w:b/>
          <w:bCs/>
          <w:i/>
          <w:iCs/>
          <w:sz w:val="28"/>
          <w:szCs w:val="28"/>
          <w:lang w:val="en-US"/>
          <w14:shadow w14:blurRad="50800" w14:dist="38100" w14:dir="2700000" w14:sx="100000" w14:sy="100000" w14:kx="0" w14:ky="0" w14:algn="tl">
            <w14:srgbClr w14:val="000000">
              <w14:alpha w14:val="60000"/>
            </w14:srgbClr>
          </w14:shadow>
        </w:rPr>
        <w:t xml:space="preserve">Net Sales and Net Assets of ETF by Country of Domiciliation </w:t>
      </w:r>
    </w:p>
    <w:p w:rsidR="001142A5" w:rsidRDefault="001142A5" w:rsidP="001142A5">
      <w:pPr>
        <w:spacing w:line="260" w:lineRule="atLeast"/>
        <w:jc w:val="both"/>
        <w:rPr>
          <w:b/>
          <w:color w:val="0000FF"/>
          <w:sz w:val="22"/>
          <w:szCs w:val="22"/>
          <w:lang w:eastAsia="fr-FR"/>
        </w:rPr>
      </w:pPr>
    </w:p>
    <w:p w:rsidR="001142A5" w:rsidRDefault="001142A5" w:rsidP="001142A5">
      <w:pPr>
        <w:spacing w:line="260" w:lineRule="atLeast"/>
        <w:jc w:val="both"/>
        <w:rPr>
          <w:b/>
          <w:color w:val="0000FF"/>
          <w:sz w:val="22"/>
          <w:szCs w:val="22"/>
          <w:lang w:eastAsia="fr-FR"/>
        </w:rPr>
      </w:pPr>
      <w:r>
        <w:rPr>
          <w:b/>
          <w:color w:val="0000FF"/>
          <w:sz w:val="22"/>
          <w:szCs w:val="22"/>
          <w:lang w:eastAsia="fr-FR"/>
        </w:rPr>
        <w:t>Net sales</w:t>
      </w:r>
      <w:r w:rsidR="0047341B">
        <w:rPr>
          <w:b/>
          <w:color w:val="0000FF"/>
          <w:sz w:val="22"/>
          <w:szCs w:val="22"/>
          <w:lang w:eastAsia="fr-FR"/>
        </w:rPr>
        <w:t xml:space="preserve"> of UCITS ETF amounted to EUR 12</w:t>
      </w:r>
      <w:r w:rsidR="000B2912">
        <w:rPr>
          <w:b/>
          <w:color w:val="0000FF"/>
          <w:sz w:val="22"/>
          <w:szCs w:val="22"/>
          <w:lang w:eastAsia="fr-FR"/>
        </w:rPr>
        <w:t>.1</w:t>
      </w:r>
      <w:r>
        <w:rPr>
          <w:b/>
          <w:color w:val="0000FF"/>
          <w:sz w:val="22"/>
          <w:szCs w:val="22"/>
          <w:lang w:eastAsia="fr-FR"/>
        </w:rPr>
        <w:t xml:space="preserve"> billion in </w:t>
      </w:r>
      <w:r w:rsidR="00DB7708">
        <w:rPr>
          <w:b/>
          <w:color w:val="0000FF"/>
          <w:sz w:val="22"/>
          <w:szCs w:val="22"/>
          <w:lang w:eastAsia="fr-FR"/>
        </w:rPr>
        <w:t>Q3</w:t>
      </w:r>
      <w:r>
        <w:rPr>
          <w:b/>
          <w:color w:val="0000FF"/>
          <w:sz w:val="22"/>
          <w:szCs w:val="22"/>
          <w:lang w:eastAsia="fr-FR"/>
        </w:rPr>
        <w:t xml:space="preserve"> 2017, </w:t>
      </w:r>
      <w:r w:rsidR="005948B1">
        <w:rPr>
          <w:b/>
          <w:color w:val="0000FF"/>
          <w:sz w:val="22"/>
          <w:szCs w:val="22"/>
          <w:lang w:eastAsia="fr-FR"/>
        </w:rPr>
        <w:t>down from</w:t>
      </w:r>
      <w:r w:rsidR="0047341B">
        <w:rPr>
          <w:b/>
          <w:color w:val="0000FF"/>
          <w:sz w:val="22"/>
          <w:szCs w:val="22"/>
          <w:lang w:eastAsia="fr-FR"/>
        </w:rPr>
        <w:t xml:space="preserve"> EUR 20</w:t>
      </w:r>
      <w:r>
        <w:rPr>
          <w:b/>
          <w:color w:val="0000FF"/>
          <w:sz w:val="22"/>
          <w:szCs w:val="22"/>
          <w:lang w:eastAsia="fr-FR"/>
        </w:rPr>
        <w:t xml:space="preserve"> billion in the </w:t>
      </w:r>
      <w:r w:rsidR="00DB7708">
        <w:rPr>
          <w:b/>
          <w:color w:val="0000FF"/>
          <w:sz w:val="22"/>
          <w:szCs w:val="22"/>
          <w:lang w:eastAsia="fr-FR"/>
        </w:rPr>
        <w:t>second</w:t>
      </w:r>
      <w:r>
        <w:rPr>
          <w:b/>
          <w:color w:val="0000FF"/>
          <w:sz w:val="22"/>
          <w:szCs w:val="22"/>
          <w:lang w:eastAsia="fr-FR"/>
        </w:rPr>
        <w:t xml:space="preserve"> quarter. UCITS ETF ha</w:t>
      </w:r>
      <w:r w:rsidR="00AC5AAD">
        <w:rPr>
          <w:b/>
          <w:color w:val="0000FF"/>
          <w:sz w:val="22"/>
          <w:szCs w:val="22"/>
          <w:lang w:eastAsia="fr-FR"/>
        </w:rPr>
        <w:t>v</w:t>
      </w:r>
      <w:r w:rsidR="000B2912">
        <w:rPr>
          <w:b/>
          <w:color w:val="0000FF"/>
          <w:sz w:val="22"/>
          <w:szCs w:val="22"/>
          <w:lang w:eastAsia="fr-FR"/>
        </w:rPr>
        <w:t>e attracted net sales of EUR 55.7</w:t>
      </w:r>
      <w:r>
        <w:rPr>
          <w:b/>
          <w:color w:val="0000FF"/>
          <w:sz w:val="22"/>
          <w:szCs w:val="22"/>
          <w:lang w:eastAsia="fr-FR"/>
        </w:rPr>
        <w:t xml:space="preserve"> billion so far this year</w:t>
      </w:r>
      <w:r w:rsidR="00AC5AAD">
        <w:rPr>
          <w:b/>
          <w:color w:val="0000FF"/>
          <w:sz w:val="22"/>
          <w:szCs w:val="22"/>
          <w:lang w:eastAsia="fr-FR"/>
        </w:rPr>
        <w:t>.</w:t>
      </w:r>
      <w:r>
        <w:rPr>
          <w:rStyle w:val="FootnoteReference"/>
          <w:b/>
          <w:color w:val="0000FF"/>
          <w:sz w:val="22"/>
          <w:szCs w:val="22"/>
          <w:lang w:eastAsia="fr-FR"/>
        </w:rPr>
        <w:footnoteReference w:id="1"/>
      </w:r>
    </w:p>
    <w:p w:rsidR="001142A5" w:rsidRDefault="001142A5" w:rsidP="001142A5">
      <w:pPr>
        <w:spacing w:line="260" w:lineRule="atLeast"/>
        <w:jc w:val="both"/>
        <w:rPr>
          <w:b/>
          <w:color w:val="0000FF"/>
          <w:sz w:val="22"/>
          <w:szCs w:val="22"/>
          <w:lang w:eastAsia="fr-FR"/>
        </w:rPr>
      </w:pPr>
    </w:p>
    <w:p w:rsidR="001142A5" w:rsidRDefault="001142A5" w:rsidP="001142A5">
      <w:pPr>
        <w:spacing w:line="260" w:lineRule="atLeast"/>
        <w:jc w:val="both"/>
        <w:rPr>
          <w:sz w:val="22"/>
          <w:szCs w:val="22"/>
          <w:lang w:eastAsia="fr-FR"/>
        </w:rPr>
      </w:pPr>
      <w:r>
        <w:rPr>
          <w:sz w:val="22"/>
          <w:szCs w:val="22"/>
          <w:lang w:eastAsia="fr-FR"/>
        </w:rPr>
        <w:t>UCITS ETF domiciled in Ireland registered the largest</w:t>
      </w:r>
      <w:r w:rsidR="000F4E8E">
        <w:rPr>
          <w:sz w:val="22"/>
          <w:szCs w:val="22"/>
          <w:lang w:eastAsia="fr-FR"/>
        </w:rPr>
        <w:t xml:space="preserve"> net</w:t>
      </w:r>
      <w:r>
        <w:rPr>
          <w:sz w:val="22"/>
          <w:szCs w:val="22"/>
          <w:lang w:eastAsia="fr-FR"/>
        </w:rPr>
        <w:t xml:space="preserve"> </w:t>
      </w:r>
      <w:r w:rsidR="00537E5C">
        <w:rPr>
          <w:sz w:val="22"/>
          <w:szCs w:val="22"/>
          <w:lang w:eastAsia="fr-FR"/>
        </w:rPr>
        <w:t>sales</w:t>
      </w:r>
      <w:r w:rsidR="00F15D26">
        <w:rPr>
          <w:sz w:val="22"/>
          <w:szCs w:val="22"/>
          <w:lang w:eastAsia="fr-FR"/>
        </w:rPr>
        <w:t xml:space="preserve"> during the quarter (EUR 10</w:t>
      </w:r>
      <w:r w:rsidR="000B2912">
        <w:rPr>
          <w:sz w:val="22"/>
          <w:szCs w:val="22"/>
          <w:lang w:eastAsia="fr-FR"/>
        </w:rPr>
        <w:t>.3</w:t>
      </w:r>
      <w:r>
        <w:rPr>
          <w:sz w:val="22"/>
          <w:szCs w:val="22"/>
          <w:lang w:eastAsia="fr-FR"/>
        </w:rPr>
        <w:t xml:space="preserve"> billion) reflecting the size of their ETF </w:t>
      </w:r>
      <w:r w:rsidR="00F15D26">
        <w:rPr>
          <w:sz w:val="22"/>
          <w:szCs w:val="22"/>
          <w:lang w:eastAsia="fr-FR"/>
        </w:rPr>
        <w:t>market, followed by Germany (EUR 2</w:t>
      </w:r>
      <w:r w:rsidR="000B2912">
        <w:rPr>
          <w:sz w:val="22"/>
          <w:szCs w:val="22"/>
          <w:lang w:eastAsia="fr-FR"/>
        </w:rPr>
        <w:t>.4</w:t>
      </w:r>
      <w:r w:rsidR="00F15D26">
        <w:rPr>
          <w:sz w:val="22"/>
          <w:szCs w:val="22"/>
          <w:lang w:eastAsia="fr-FR"/>
        </w:rPr>
        <w:t xml:space="preserve"> billion). </w:t>
      </w:r>
      <w:r>
        <w:rPr>
          <w:sz w:val="22"/>
          <w:szCs w:val="22"/>
          <w:lang w:eastAsia="fr-FR"/>
        </w:rPr>
        <w:t xml:space="preserve">Looking at cumulative year-to-date net sales, Ireland has so far </w:t>
      </w:r>
      <w:r w:rsidR="00537E5C">
        <w:rPr>
          <w:sz w:val="22"/>
          <w:szCs w:val="22"/>
          <w:lang w:eastAsia="fr-FR"/>
        </w:rPr>
        <w:t>attracted the largest net sale</w:t>
      </w:r>
      <w:r>
        <w:rPr>
          <w:sz w:val="22"/>
          <w:szCs w:val="22"/>
          <w:lang w:eastAsia="fr-FR"/>
        </w:rPr>
        <w:t xml:space="preserve">s </w:t>
      </w:r>
      <w:r w:rsidR="00F15D26">
        <w:rPr>
          <w:sz w:val="22"/>
          <w:szCs w:val="22"/>
          <w:lang w:eastAsia="fr-FR"/>
        </w:rPr>
        <w:t>(EUR 4</w:t>
      </w:r>
      <w:r w:rsidR="000B2912">
        <w:rPr>
          <w:sz w:val="22"/>
          <w:szCs w:val="22"/>
          <w:lang w:eastAsia="fr-FR"/>
        </w:rPr>
        <w:t>2.6</w:t>
      </w:r>
      <w:r w:rsidR="004A0BB0">
        <w:rPr>
          <w:sz w:val="22"/>
          <w:szCs w:val="22"/>
          <w:lang w:eastAsia="fr-FR"/>
        </w:rPr>
        <w:t xml:space="preserve"> billion). </w:t>
      </w:r>
    </w:p>
    <w:p w:rsidR="004A0BB0" w:rsidRDefault="004A0BB0" w:rsidP="001142A5">
      <w:pPr>
        <w:spacing w:line="260" w:lineRule="atLeast"/>
        <w:jc w:val="both"/>
        <w:rPr>
          <w:sz w:val="22"/>
          <w:szCs w:val="22"/>
          <w:lang w:eastAsia="fr-FR"/>
        </w:rPr>
      </w:pPr>
    </w:p>
    <w:p w:rsidR="001142A5" w:rsidRDefault="00F7552D" w:rsidP="001142A5">
      <w:pPr>
        <w:spacing w:line="260" w:lineRule="atLeast"/>
        <w:jc w:val="both"/>
        <w:rPr>
          <w:sz w:val="22"/>
          <w:szCs w:val="22"/>
          <w:lang w:eastAsia="fr-FR"/>
        </w:rPr>
      </w:pPr>
      <w:r w:rsidRPr="00F7552D">
        <w:rPr>
          <w:noProof/>
          <w:lang w:val="nl-BE" w:eastAsia="nl-BE"/>
        </w:rPr>
        <w:drawing>
          <wp:anchor distT="0" distB="0" distL="114300" distR="114300" simplePos="0" relativeHeight="251706368" behindDoc="0" locked="0" layoutInCell="1" allowOverlap="1">
            <wp:simplePos x="0" y="0"/>
            <wp:positionH relativeFrom="column">
              <wp:posOffset>861045</wp:posOffset>
            </wp:positionH>
            <wp:positionV relativeFrom="paragraph">
              <wp:posOffset>121432</wp:posOffset>
            </wp:positionV>
            <wp:extent cx="4672800" cy="3650400"/>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72800" cy="365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142A5" w:rsidRPr="004C7355" w:rsidRDefault="00B27325" w:rsidP="001142A5">
      <w:pPr>
        <w:pStyle w:val="Footer"/>
        <w:tabs>
          <w:tab w:val="left" w:pos="720"/>
          <w:tab w:val="left" w:pos="3960"/>
          <w:tab w:val="left" w:pos="4320"/>
        </w:tabs>
        <w:spacing w:line="260" w:lineRule="exact"/>
        <w:jc w:val="center"/>
        <w:outlineLvl w:val="0"/>
        <w:rPr>
          <w:b/>
          <w:bCs/>
          <w:sz w:val="28"/>
          <w:szCs w:val="28"/>
          <w:lang w:val="en-US"/>
          <w14:shadow w14:blurRad="50800" w14:dist="38100" w14:dir="2700000" w14:sx="100000" w14:sy="100000" w14:kx="0" w14:ky="0" w14:algn="tl">
            <w14:srgbClr w14:val="000000">
              <w14:alpha w14:val="60000"/>
            </w14:srgbClr>
          </w14:shadow>
        </w:rPr>
      </w:pPr>
      <w:r>
        <w:rPr>
          <w:b/>
          <w:bCs/>
          <w:noProof/>
          <w:sz w:val="28"/>
          <w:szCs w:val="28"/>
          <w:lang w:val="nl-BE" w:eastAsia="nl-BE"/>
        </w:rPr>
        <w:drawing>
          <wp:anchor distT="0" distB="0" distL="114300" distR="114300" simplePos="0" relativeHeight="251702272" behindDoc="0" locked="0" layoutInCell="1" allowOverlap="1" wp14:anchorId="30FA4A7A">
            <wp:simplePos x="0" y="0"/>
            <wp:positionH relativeFrom="column">
              <wp:posOffset>863127</wp:posOffset>
            </wp:positionH>
            <wp:positionV relativeFrom="page">
              <wp:posOffset>6257317</wp:posOffset>
            </wp:positionV>
            <wp:extent cx="4680000" cy="3175200"/>
            <wp:effectExtent l="0" t="0" r="635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80000" cy="3175200"/>
                    </a:xfrm>
                    <a:prstGeom prst="rect">
                      <a:avLst/>
                    </a:prstGeom>
                    <a:noFill/>
                  </pic:spPr>
                </pic:pic>
              </a:graphicData>
            </a:graphic>
            <wp14:sizeRelH relativeFrom="page">
              <wp14:pctWidth>0</wp14:pctWidth>
            </wp14:sizeRelH>
            <wp14:sizeRelV relativeFrom="page">
              <wp14:pctHeight>0</wp14:pctHeight>
            </wp14:sizeRelV>
          </wp:anchor>
        </w:drawing>
      </w:r>
      <w:r w:rsidR="001142A5" w:rsidRPr="004C7355">
        <w:rPr>
          <w:b/>
          <w:bCs/>
          <w:sz w:val="28"/>
          <w:szCs w:val="28"/>
          <w:lang w:val="en-US"/>
          <w14:shadow w14:blurRad="50800" w14:dist="38100" w14:dir="2700000" w14:sx="100000" w14:sy="100000" w14:kx="0" w14:ky="0" w14:algn="tl">
            <w14:srgbClr w14:val="000000">
              <w14:alpha w14:val="60000"/>
            </w14:srgbClr>
          </w14:shadow>
        </w:rPr>
        <w:br w:type="page"/>
      </w:r>
      <w:r w:rsidR="001142A5" w:rsidRPr="004C7355">
        <w:rPr>
          <w:b/>
          <w:bCs/>
          <w:sz w:val="28"/>
          <w:szCs w:val="28"/>
          <w:lang w:val="en-US"/>
          <w14:shadow w14:blurRad="50800" w14:dist="38100" w14:dir="2700000" w14:sx="100000" w14:sy="100000" w14:kx="0" w14:ky="0" w14:algn="tl">
            <w14:srgbClr w14:val="000000">
              <w14:alpha w14:val="60000"/>
            </w14:srgbClr>
          </w14:shadow>
        </w:rPr>
        <w:lastRenderedPageBreak/>
        <w:t>Trends in the UCITS Market</w:t>
      </w:r>
    </w:p>
    <w:p w:rsidR="001142A5" w:rsidRPr="004C7355" w:rsidRDefault="001142A5" w:rsidP="001142A5">
      <w:pPr>
        <w:pStyle w:val="Footer"/>
        <w:jc w:val="center"/>
        <w:outlineLvl w:val="0"/>
        <w:rPr>
          <w:b/>
          <w:bCs/>
          <w:i/>
          <w:iCs/>
          <w:sz w:val="28"/>
          <w:szCs w:val="28"/>
          <w:lang w:val="en-US"/>
          <w14:shadow w14:blurRad="50800" w14:dist="38100" w14:dir="2700000" w14:sx="100000" w14:sy="100000" w14:kx="0" w14:ky="0" w14:algn="tl">
            <w14:srgbClr w14:val="000000">
              <w14:alpha w14:val="60000"/>
            </w14:srgbClr>
          </w14:shadow>
        </w:rPr>
      </w:pPr>
      <w:r w:rsidRPr="004C7355">
        <w:rPr>
          <w:b/>
          <w:bCs/>
          <w:i/>
          <w:iCs/>
          <w:sz w:val="28"/>
          <w:szCs w:val="28"/>
          <w:lang w:val="en-US"/>
          <w14:shadow w14:blurRad="50800" w14:dist="38100" w14:dir="2700000" w14:sx="100000" w14:sy="100000" w14:kx="0" w14:ky="0" w14:algn="tl">
            <w14:srgbClr w14:val="000000">
              <w14:alpha w14:val="60000"/>
            </w14:srgbClr>
          </w14:shadow>
        </w:rPr>
        <w:t>Net Assets by Investment Type</w:t>
      </w:r>
    </w:p>
    <w:p w:rsidR="001142A5" w:rsidRDefault="001142A5" w:rsidP="001142A5">
      <w:pPr>
        <w:pStyle w:val="Footer"/>
        <w:tabs>
          <w:tab w:val="left" w:pos="720"/>
          <w:tab w:val="left" w:pos="4320"/>
        </w:tabs>
        <w:spacing w:line="260" w:lineRule="exact"/>
        <w:jc w:val="both"/>
        <w:rPr>
          <w:color w:val="000000"/>
          <w:sz w:val="22"/>
          <w:szCs w:val="22"/>
          <w:lang w:val="en-US"/>
        </w:rPr>
      </w:pPr>
    </w:p>
    <w:p w:rsidR="001142A5" w:rsidRDefault="000B2912" w:rsidP="001142A5">
      <w:pPr>
        <w:pStyle w:val="Footer"/>
        <w:tabs>
          <w:tab w:val="left" w:pos="720"/>
          <w:tab w:val="left" w:pos="4320"/>
        </w:tabs>
        <w:spacing w:line="260" w:lineRule="exact"/>
        <w:jc w:val="both"/>
        <w:rPr>
          <w:b/>
          <w:color w:val="0000FF"/>
          <w:sz w:val="22"/>
          <w:szCs w:val="22"/>
          <w:lang w:val="en-US"/>
        </w:rPr>
      </w:pPr>
      <w:r>
        <w:rPr>
          <w:b/>
          <w:color w:val="0000FF"/>
          <w:sz w:val="22"/>
          <w:szCs w:val="22"/>
          <w:lang w:val="en-US"/>
        </w:rPr>
        <w:t xml:space="preserve">Net assets of </w:t>
      </w:r>
      <w:r w:rsidR="001142A5">
        <w:rPr>
          <w:b/>
          <w:color w:val="0000FF"/>
          <w:sz w:val="22"/>
          <w:szCs w:val="22"/>
          <w:lang w:val="en-US"/>
        </w:rPr>
        <w:t>UCITS</w:t>
      </w:r>
      <w:r w:rsidR="00F15D26">
        <w:rPr>
          <w:b/>
          <w:color w:val="0000FF"/>
          <w:sz w:val="22"/>
          <w:szCs w:val="22"/>
          <w:lang w:val="en-US"/>
        </w:rPr>
        <w:t xml:space="preserve"> increased by 2.</w:t>
      </w:r>
      <w:r w:rsidR="00E04B90">
        <w:rPr>
          <w:b/>
          <w:color w:val="0000FF"/>
          <w:sz w:val="22"/>
          <w:szCs w:val="22"/>
          <w:lang w:val="en-US"/>
        </w:rPr>
        <w:t>6</w:t>
      </w:r>
      <w:r w:rsidR="00162BDB">
        <w:rPr>
          <w:b/>
          <w:color w:val="0000FF"/>
          <w:sz w:val="22"/>
          <w:szCs w:val="22"/>
          <w:lang w:val="en-US"/>
        </w:rPr>
        <w:t>%</w:t>
      </w:r>
      <w:r w:rsidR="001142A5">
        <w:rPr>
          <w:b/>
          <w:color w:val="0000FF"/>
          <w:sz w:val="22"/>
          <w:szCs w:val="22"/>
          <w:lang w:val="en-US"/>
        </w:rPr>
        <w:t xml:space="preserve"> </w:t>
      </w:r>
      <w:r w:rsidR="00F15D26">
        <w:rPr>
          <w:b/>
          <w:color w:val="0000FF"/>
          <w:sz w:val="22"/>
          <w:szCs w:val="22"/>
          <w:lang w:val="en-US"/>
        </w:rPr>
        <w:t>to reach EUR 9,41</w:t>
      </w:r>
      <w:r w:rsidR="00E04B90">
        <w:rPr>
          <w:b/>
          <w:color w:val="0000FF"/>
          <w:sz w:val="22"/>
          <w:szCs w:val="22"/>
          <w:lang w:val="en-US"/>
        </w:rPr>
        <w:t>6</w:t>
      </w:r>
      <w:r w:rsidR="00297544">
        <w:rPr>
          <w:b/>
          <w:color w:val="0000FF"/>
          <w:sz w:val="22"/>
          <w:szCs w:val="22"/>
          <w:lang w:val="en-US"/>
        </w:rPr>
        <w:t xml:space="preserve"> billion</w:t>
      </w:r>
      <w:r w:rsidR="00702346">
        <w:rPr>
          <w:b/>
          <w:color w:val="0000FF"/>
          <w:sz w:val="22"/>
          <w:szCs w:val="22"/>
          <w:lang w:val="en-US"/>
        </w:rPr>
        <w:t xml:space="preserve"> in Q3 2017</w:t>
      </w:r>
      <w:r w:rsidR="00297544">
        <w:rPr>
          <w:b/>
          <w:color w:val="0000FF"/>
          <w:sz w:val="22"/>
          <w:szCs w:val="22"/>
          <w:lang w:val="en-US"/>
        </w:rPr>
        <w:t>.</w:t>
      </w:r>
    </w:p>
    <w:p w:rsidR="001142A5" w:rsidRDefault="001142A5" w:rsidP="001142A5">
      <w:pPr>
        <w:pStyle w:val="Footer"/>
        <w:tabs>
          <w:tab w:val="left" w:pos="720"/>
          <w:tab w:val="left" w:pos="4320"/>
        </w:tabs>
        <w:spacing w:line="260" w:lineRule="exact"/>
        <w:jc w:val="both"/>
        <w:rPr>
          <w:b/>
          <w:color w:val="0000FF"/>
          <w:sz w:val="22"/>
          <w:szCs w:val="22"/>
          <w:lang w:val="en-US"/>
        </w:rPr>
      </w:pPr>
    </w:p>
    <w:p w:rsidR="001142A5" w:rsidRDefault="001142A5" w:rsidP="001142A5">
      <w:pPr>
        <w:pStyle w:val="Footer"/>
        <w:tabs>
          <w:tab w:val="left" w:pos="720"/>
          <w:tab w:val="left" w:pos="4320"/>
        </w:tabs>
        <w:spacing w:line="260" w:lineRule="exact"/>
        <w:jc w:val="both"/>
        <w:rPr>
          <w:color w:val="000000"/>
          <w:sz w:val="22"/>
          <w:szCs w:val="22"/>
          <w:lang w:val="en-US"/>
        </w:rPr>
      </w:pPr>
      <w:r>
        <w:rPr>
          <w:color w:val="000000"/>
          <w:sz w:val="22"/>
          <w:szCs w:val="22"/>
          <w:lang w:val="en-US"/>
        </w:rPr>
        <w:t xml:space="preserve">All categories of UCITS funds experienced an increase in net assets in </w:t>
      </w:r>
      <w:r w:rsidR="00DB7708">
        <w:rPr>
          <w:color w:val="000000"/>
          <w:sz w:val="22"/>
          <w:szCs w:val="22"/>
          <w:lang w:val="en-US"/>
        </w:rPr>
        <w:t>Q3</w:t>
      </w:r>
      <w:r>
        <w:rPr>
          <w:color w:val="000000"/>
          <w:sz w:val="22"/>
          <w:szCs w:val="22"/>
          <w:lang w:val="en-US"/>
        </w:rPr>
        <w:t xml:space="preserve"> 2017, with the exception of guaranteed funds which experienced </w:t>
      </w:r>
      <w:r w:rsidR="00297544">
        <w:rPr>
          <w:color w:val="000000"/>
          <w:sz w:val="22"/>
          <w:szCs w:val="22"/>
          <w:lang w:val="en-US"/>
        </w:rPr>
        <w:t>a net asset decrease</w:t>
      </w:r>
      <w:r>
        <w:rPr>
          <w:color w:val="000000"/>
          <w:sz w:val="22"/>
          <w:szCs w:val="22"/>
          <w:lang w:val="en-US"/>
        </w:rPr>
        <w:t xml:space="preserve"> of </w:t>
      </w:r>
      <w:r w:rsidR="000B2912">
        <w:rPr>
          <w:color w:val="000000"/>
          <w:sz w:val="22"/>
          <w:szCs w:val="22"/>
          <w:lang w:val="en-US"/>
        </w:rPr>
        <w:t xml:space="preserve">3.5%. </w:t>
      </w:r>
      <w:r w:rsidR="00297544">
        <w:rPr>
          <w:color w:val="000000"/>
          <w:sz w:val="22"/>
          <w:szCs w:val="22"/>
          <w:lang w:val="en-US"/>
        </w:rPr>
        <w:t xml:space="preserve">Net assets </w:t>
      </w:r>
      <w:r w:rsidR="00E04B90">
        <w:rPr>
          <w:color w:val="000000"/>
          <w:sz w:val="22"/>
          <w:szCs w:val="22"/>
          <w:lang w:val="en-US"/>
        </w:rPr>
        <w:t xml:space="preserve">of equity funds and </w:t>
      </w:r>
      <w:r w:rsidR="00297544">
        <w:rPr>
          <w:color w:val="000000"/>
          <w:sz w:val="22"/>
          <w:szCs w:val="22"/>
          <w:lang w:val="en-US"/>
        </w:rPr>
        <w:t xml:space="preserve">multi-asset funds </w:t>
      </w:r>
      <w:r w:rsidR="00E04B90" w:rsidRPr="00E04B90">
        <w:rPr>
          <w:color w:val="000000"/>
          <w:sz w:val="22"/>
          <w:szCs w:val="22"/>
          <w:lang w:val="en-US"/>
        </w:rPr>
        <w:t>increased 2.9%</w:t>
      </w:r>
      <w:r w:rsidR="00E04B90">
        <w:rPr>
          <w:color w:val="000000"/>
          <w:sz w:val="22"/>
          <w:szCs w:val="22"/>
          <w:lang w:val="en-US"/>
        </w:rPr>
        <w:t>,</w:t>
      </w:r>
      <w:r w:rsidR="00E04B90" w:rsidRPr="00E04B90">
        <w:rPr>
          <w:color w:val="000000"/>
          <w:sz w:val="22"/>
          <w:szCs w:val="22"/>
          <w:lang w:val="en-US"/>
        </w:rPr>
        <w:t xml:space="preserve"> followed by </w:t>
      </w:r>
      <w:r w:rsidR="00297544">
        <w:rPr>
          <w:color w:val="000000"/>
          <w:sz w:val="22"/>
          <w:szCs w:val="22"/>
          <w:lang w:val="en-US"/>
        </w:rPr>
        <w:t xml:space="preserve">bond funds (2.5%), and money market funds (1.8%). Other UCITS funds increased 1% in Q3 2017. </w:t>
      </w:r>
    </w:p>
    <w:p w:rsidR="008B3565" w:rsidRDefault="008B3565" w:rsidP="001142A5">
      <w:pPr>
        <w:pStyle w:val="Footer"/>
        <w:tabs>
          <w:tab w:val="left" w:pos="720"/>
          <w:tab w:val="left" w:pos="4320"/>
        </w:tabs>
        <w:spacing w:line="260" w:lineRule="exact"/>
        <w:jc w:val="both"/>
        <w:rPr>
          <w:color w:val="000000"/>
          <w:sz w:val="22"/>
          <w:szCs w:val="22"/>
          <w:lang w:val="en-US"/>
        </w:rPr>
      </w:pPr>
    </w:p>
    <w:p w:rsidR="001142A5" w:rsidRPr="00372635" w:rsidRDefault="001142A5" w:rsidP="001142A5">
      <w:pPr>
        <w:pStyle w:val="Footer"/>
        <w:tabs>
          <w:tab w:val="left" w:pos="720"/>
          <w:tab w:val="left" w:pos="4320"/>
        </w:tabs>
        <w:spacing w:line="260" w:lineRule="exact"/>
        <w:jc w:val="both"/>
        <w:rPr>
          <w:color w:val="000000"/>
          <w:sz w:val="22"/>
          <w:szCs w:val="22"/>
          <w:lang w:val="en-US"/>
        </w:rPr>
      </w:pPr>
      <w:r w:rsidRPr="00C43CED">
        <w:rPr>
          <w:color w:val="000000"/>
          <w:sz w:val="22"/>
          <w:szCs w:val="22"/>
          <w:lang w:val="en-US"/>
        </w:rPr>
        <w:t>The number of UCITS</w:t>
      </w:r>
      <w:r w:rsidR="00297544">
        <w:rPr>
          <w:color w:val="000000"/>
          <w:sz w:val="22"/>
          <w:szCs w:val="22"/>
          <w:lang w:val="en-US"/>
        </w:rPr>
        <w:t xml:space="preserve"> funds increased </w:t>
      </w:r>
      <w:r w:rsidR="001455FA">
        <w:rPr>
          <w:color w:val="000000"/>
          <w:sz w:val="22"/>
          <w:szCs w:val="22"/>
          <w:lang w:val="en-US"/>
        </w:rPr>
        <w:t>to 31,491 at end Q3 2017.</w:t>
      </w:r>
    </w:p>
    <w:p w:rsidR="001142A5" w:rsidRDefault="00913059" w:rsidP="001142A5">
      <w:pPr>
        <w:pStyle w:val="Footer"/>
        <w:tabs>
          <w:tab w:val="left" w:pos="720"/>
          <w:tab w:val="left" w:pos="4320"/>
        </w:tabs>
        <w:spacing w:line="260" w:lineRule="exact"/>
        <w:jc w:val="both"/>
        <w:outlineLvl w:val="0"/>
        <w:rPr>
          <w:color w:val="000000"/>
          <w:sz w:val="22"/>
          <w:szCs w:val="22"/>
          <w:lang w:val="en-US"/>
        </w:rPr>
      </w:pPr>
      <w:r w:rsidRPr="00913059">
        <w:rPr>
          <w:noProof/>
          <w:lang w:val="nl-BE" w:eastAsia="nl-BE"/>
        </w:rPr>
        <w:drawing>
          <wp:anchor distT="0" distB="0" distL="114300" distR="114300" simplePos="0" relativeHeight="251713536" behindDoc="0" locked="0" layoutInCell="1" allowOverlap="1">
            <wp:simplePos x="0" y="0"/>
            <wp:positionH relativeFrom="column">
              <wp:posOffset>343295</wp:posOffset>
            </wp:positionH>
            <wp:positionV relativeFrom="paragraph">
              <wp:posOffset>152424</wp:posOffset>
            </wp:positionV>
            <wp:extent cx="5367600" cy="632520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67600" cy="632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142A5" w:rsidRPr="004C7355" w:rsidRDefault="001142A5" w:rsidP="001142A5">
      <w:pPr>
        <w:pStyle w:val="Footer"/>
        <w:jc w:val="center"/>
        <w:outlineLvl w:val="0"/>
        <w:rPr>
          <w:b/>
          <w:bCs/>
          <w:sz w:val="28"/>
          <w:szCs w:val="28"/>
          <w:lang w:val="en-US"/>
          <w14:shadow w14:blurRad="50800" w14:dist="38100" w14:dir="2700000" w14:sx="100000" w14:sy="100000" w14:kx="0" w14:ky="0" w14:algn="tl">
            <w14:srgbClr w14:val="000000">
              <w14:alpha w14:val="60000"/>
            </w14:srgbClr>
          </w14:shadow>
        </w:rPr>
      </w:pPr>
      <w:r w:rsidRPr="004C7355">
        <w:rPr>
          <w:b/>
          <w:bCs/>
          <w:sz w:val="28"/>
          <w:szCs w:val="28"/>
          <w:lang w:val="en-US"/>
          <w14:shadow w14:blurRad="50800" w14:dist="38100" w14:dir="2700000" w14:sx="100000" w14:sy="100000" w14:kx="0" w14:ky="0" w14:algn="tl">
            <w14:srgbClr w14:val="000000">
              <w14:alpha w14:val="60000"/>
            </w14:srgbClr>
          </w14:shadow>
        </w:rPr>
        <w:tab/>
      </w:r>
    </w:p>
    <w:p w:rsidR="001142A5" w:rsidRPr="004C7355" w:rsidRDefault="001142A5" w:rsidP="001142A5">
      <w:pPr>
        <w:pStyle w:val="Footer"/>
        <w:jc w:val="center"/>
        <w:outlineLvl w:val="0"/>
        <w:rPr>
          <w:b/>
          <w:bCs/>
          <w:sz w:val="28"/>
          <w:szCs w:val="28"/>
          <w:lang w:val="en-US"/>
          <w14:shadow w14:blurRad="50800" w14:dist="38100" w14:dir="2700000" w14:sx="100000" w14:sy="100000" w14:kx="0" w14:ky="0" w14:algn="tl">
            <w14:srgbClr w14:val="000000">
              <w14:alpha w14:val="60000"/>
            </w14:srgbClr>
          </w14:shadow>
        </w:rPr>
      </w:pPr>
    </w:p>
    <w:p w:rsidR="001142A5" w:rsidRPr="004C7355" w:rsidRDefault="001142A5" w:rsidP="001142A5">
      <w:pPr>
        <w:pStyle w:val="Footer"/>
        <w:jc w:val="center"/>
        <w:outlineLvl w:val="0"/>
        <w:rPr>
          <w:b/>
          <w:bCs/>
          <w:sz w:val="28"/>
          <w:szCs w:val="28"/>
          <w:lang w:val="en-US"/>
          <w14:shadow w14:blurRad="50800" w14:dist="38100" w14:dir="2700000" w14:sx="100000" w14:sy="100000" w14:kx="0" w14:ky="0" w14:algn="tl">
            <w14:srgbClr w14:val="000000">
              <w14:alpha w14:val="60000"/>
            </w14:srgbClr>
          </w14:shadow>
        </w:rPr>
      </w:pPr>
    </w:p>
    <w:p w:rsidR="001142A5" w:rsidRPr="004C7355" w:rsidRDefault="001142A5" w:rsidP="001142A5">
      <w:pPr>
        <w:pStyle w:val="Footer"/>
        <w:jc w:val="center"/>
        <w:outlineLvl w:val="0"/>
        <w:rPr>
          <w:b/>
          <w:bCs/>
          <w:sz w:val="28"/>
          <w:szCs w:val="28"/>
          <w:lang w:val="en-US"/>
          <w14:shadow w14:blurRad="50800" w14:dist="38100" w14:dir="2700000" w14:sx="100000" w14:sy="100000" w14:kx="0" w14:ky="0" w14:algn="tl">
            <w14:srgbClr w14:val="000000">
              <w14:alpha w14:val="60000"/>
            </w14:srgbClr>
          </w14:shadow>
        </w:rPr>
      </w:pPr>
    </w:p>
    <w:p w:rsidR="001142A5" w:rsidRPr="004C7355" w:rsidRDefault="001142A5" w:rsidP="001142A5">
      <w:pPr>
        <w:pStyle w:val="Footer"/>
        <w:jc w:val="center"/>
        <w:outlineLvl w:val="0"/>
        <w:rPr>
          <w:b/>
          <w:bCs/>
          <w:sz w:val="28"/>
          <w:szCs w:val="28"/>
          <w:lang w:val="en-US"/>
          <w14:shadow w14:blurRad="50800" w14:dist="38100" w14:dir="2700000" w14:sx="100000" w14:sy="100000" w14:kx="0" w14:ky="0" w14:algn="tl">
            <w14:srgbClr w14:val="000000">
              <w14:alpha w14:val="60000"/>
            </w14:srgbClr>
          </w14:shadow>
        </w:rPr>
      </w:pPr>
    </w:p>
    <w:p w:rsidR="001142A5" w:rsidRPr="004C7355" w:rsidRDefault="001142A5" w:rsidP="001142A5">
      <w:pPr>
        <w:pStyle w:val="Footer"/>
        <w:jc w:val="center"/>
        <w:outlineLvl w:val="0"/>
        <w:rPr>
          <w:b/>
          <w:bCs/>
          <w:sz w:val="28"/>
          <w:szCs w:val="28"/>
          <w:lang w:val="en-US"/>
          <w14:shadow w14:blurRad="50800" w14:dist="38100" w14:dir="2700000" w14:sx="100000" w14:sy="100000" w14:kx="0" w14:ky="0" w14:algn="tl">
            <w14:srgbClr w14:val="000000">
              <w14:alpha w14:val="60000"/>
            </w14:srgbClr>
          </w14:shadow>
        </w:rPr>
      </w:pPr>
    </w:p>
    <w:p w:rsidR="001142A5" w:rsidRPr="004C7355" w:rsidRDefault="001142A5" w:rsidP="001142A5">
      <w:pPr>
        <w:pStyle w:val="Footer"/>
        <w:jc w:val="center"/>
        <w:outlineLvl w:val="0"/>
        <w:rPr>
          <w:b/>
          <w:bCs/>
          <w:sz w:val="28"/>
          <w:szCs w:val="28"/>
          <w:lang w:val="en-US"/>
          <w14:shadow w14:blurRad="50800" w14:dist="38100" w14:dir="2700000" w14:sx="100000" w14:sy="100000" w14:kx="0" w14:ky="0" w14:algn="tl">
            <w14:srgbClr w14:val="000000">
              <w14:alpha w14:val="60000"/>
            </w14:srgbClr>
          </w14:shadow>
        </w:rPr>
      </w:pPr>
    </w:p>
    <w:p w:rsidR="001142A5" w:rsidRPr="004C7355" w:rsidRDefault="001142A5" w:rsidP="001142A5">
      <w:pPr>
        <w:pStyle w:val="Footer"/>
        <w:outlineLvl w:val="0"/>
        <w:rPr>
          <w:b/>
          <w:bCs/>
          <w:sz w:val="28"/>
          <w:szCs w:val="28"/>
          <w:lang w:val="en-US"/>
          <w14:shadow w14:blurRad="50800" w14:dist="38100" w14:dir="2700000" w14:sx="100000" w14:sy="100000" w14:kx="0" w14:ky="0" w14:algn="tl">
            <w14:srgbClr w14:val="000000">
              <w14:alpha w14:val="60000"/>
            </w14:srgbClr>
          </w14:shadow>
        </w:rPr>
      </w:pPr>
    </w:p>
    <w:p w:rsidR="001142A5" w:rsidRPr="004C7355" w:rsidRDefault="001142A5" w:rsidP="001142A5">
      <w:pPr>
        <w:pStyle w:val="Footer"/>
        <w:outlineLvl w:val="0"/>
        <w:rPr>
          <w:b/>
          <w:bCs/>
          <w:sz w:val="28"/>
          <w:szCs w:val="28"/>
          <w:lang w:val="en-US"/>
          <w14:shadow w14:blurRad="50800" w14:dist="38100" w14:dir="2700000" w14:sx="100000" w14:sy="100000" w14:kx="0" w14:ky="0" w14:algn="tl">
            <w14:srgbClr w14:val="000000">
              <w14:alpha w14:val="60000"/>
            </w14:srgbClr>
          </w14:shadow>
        </w:rPr>
      </w:pPr>
    </w:p>
    <w:p w:rsidR="001142A5" w:rsidRPr="004C7355" w:rsidRDefault="001142A5" w:rsidP="001142A5">
      <w:pPr>
        <w:pStyle w:val="Footer"/>
        <w:outlineLvl w:val="0"/>
        <w:rPr>
          <w:b/>
          <w:bCs/>
          <w:sz w:val="28"/>
          <w:szCs w:val="28"/>
          <w:lang w:val="en-US"/>
          <w14:shadow w14:blurRad="50800" w14:dist="38100" w14:dir="2700000" w14:sx="100000" w14:sy="100000" w14:kx="0" w14:ky="0" w14:algn="tl">
            <w14:srgbClr w14:val="000000">
              <w14:alpha w14:val="60000"/>
            </w14:srgbClr>
          </w14:shadow>
        </w:rPr>
      </w:pPr>
    </w:p>
    <w:p w:rsidR="001142A5" w:rsidRPr="004C7355" w:rsidRDefault="001142A5" w:rsidP="001142A5">
      <w:pPr>
        <w:pStyle w:val="Footer"/>
        <w:outlineLvl w:val="0"/>
        <w:rPr>
          <w:b/>
          <w:bCs/>
          <w:sz w:val="28"/>
          <w:szCs w:val="28"/>
          <w:lang w:val="en-US"/>
          <w14:shadow w14:blurRad="50800" w14:dist="38100" w14:dir="2700000" w14:sx="100000" w14:sy="100000" w14:kx="0" w14:ky="0" w14:algn="tl">
            <w14:srgbClr w14:val="000000">
              <w14:alpha w14:val="60000"/>
            </w14:srgbClr>
          </w14:shadow>
        </w:rPr>
      </w:pPr>
    </w:p>
    <w:p w:rsidR="001142A5" w:rsidRPr="004C7355" w:rsidRDefault="001142A5" w:rsidP="001142A5">
      <w:pPr>
        <w:pStyle w:val="Footer"/>
        <w:outlineLvl w:val="0"/>
        <w:rPr>
          <w:b/>
          <w:bCs/>
          <w:sz w:val="28"/>
          <w:szCs w:val="28"/>
          <w:lang w:val="en-US"/>
          <w14:shadow w14:blurRad="50800" w14:dist="38100" w14:dir="2700000" w14:sx="100000" w14:sy="100000" w14:kx="0" w14:ky="0" w14:algn="tl">
            <w14:srgbClr w14:val="000000">
              <w14:alpha w14:val="60000"/>
            </w14:srgbClr>
          </w14:shadow>
        </w:rPr>
      </w:pPr>
    </w:p>
    <w:p w:rsidR="001142A5" w:rsidRPr="004C7355" w:rsidRDefault="001142A5" w:rsidP="001142A5">
      <w:pPr>
        <w:pStyle w:val="Footer"/>
        <w:outlineLvl w:val="0"/>
        <w:rPr>
          <w:b/>
          <w:bCs/>
          <w:sz w:val="28"/>
          <w:szCs w:val="28"/>
          <w:lang w:val="en-US"/>
          <w14:shadow w14:blurRad="50800" w14:dist="38100" w14:dir="2700000" w14:sx="100000" w14:sy="100000" w14:kx="0" w14:ky="0" w14:algn="tl">
            <w14:srgbClr w14:val="000000">
              <w14:alpha w14:val="60000"/>
            </w14:srgbClr>
          </w14:shadow>
        </w:rPr>
      </w:pPr>
    </w:p>
    <w:p w:rsidR="001142A5" w:rsidRPr="004C7355" w:rsidRDefault="001142A5" w:rsidP="001142A5">
      <w:pPr>
        <w:pStyle w:val="Footer"/>
        <w:outlineLvl w:val="0"/>
        <w:rPr>
          <w:b/>
          <w:bCs/>
          <w:sz w:val="28"/>
          <w:szCs w:val="28"/>
          <w:lang w:val="en-US"/>
          <w14:shadow w14:blurRad="50800" w14:dist="38100" w14:dir="2700000" w14:sx="100000" w14:sy="100000" w14:kx="0" w14:ky="0" w14:algn="tl">
            <w14:srgbClr w14:val="000000">
              <w14:alpha w14:val="60000"/>
            </w14:srgbClr>
          </w14:shadow>
        </w:rPr>
      </w:pPr>
    </w:p>
    <w:p w:rsidR="001142A5" w:rsidRPr="004C7355" w:rsidRDefault="001142A5" w:rsidP="001142A5">
      <w:pPr>
        <w:pStyle w:val="Footer"/>
        <w:outlineLvl w:val="0"/>
        <w:rPr>
          <w:b/>
          <w:bCs/>
          <w:sz w:val="28"/>
          <w:szCs w:val="28"/>
          <w:lang w:val="en-US"/>
          <w14:shadow w14:blurRad="50800" w14:dist="38100" w14:dir="2700000" w14:sx="100000" w14:sy="100000" w14:kx="0" w14:ky="0" w14:algn="tl">
            <w14:srgbClr w14:val="000000">
              <w14:alpha w14:val="60000"/>
            </w14:srgbClr>
          </w14:shadow>
        </w:rPr>
      </w:pPr>
    </w:p>
    <w:p w:rsidR="001142A5" w:rsidRPr="004C7355" w:rsidRDefault="001142A5" w:rsidP="001142A5">
      <w:pPr>
        <w:pStyle w:val="Footer"/>
        <w:outlineLvl w:val="0"/>
        <w:rPr>
          <w:b/>
          <w:bCs/>
          <w:sz w:val="28"/>
          <w:szCs w:val="28"/>
          <w:lang w:val="en-US"/>
          <w14:shadow w14:blurRad="50800" w14:dist="38100" w14:dir="2700000" w14:sx="100000" w14:sy="100000" w14:kx="0" w14:ky="0" w14:algn="tl">
            <w14:srgbClr w14:val="000000">
              <w14:alpha w14:val="60000"/>
            </w14:srgbClr>
          </w14:shadow>
        </w:rPr>
      </w:pPr>
    </w:p>
    <w:p w:rsidR="001142A5" w:rsidRPr="004C7355" w:rsidRDefault="001142A5" w:rsidP="001142A5">
      <w:pPr>
        <w:pStyle w:val="Footer"/>
        <w:outlineLvl w:val="0"/>
        <w:rPr>
          <w:b/>
          <w:bCs/>
          <w:sz w:val="28"/>
          <w:szCs w:val="28"/>
          <w:lang w:val="en-US"/>
          <w14:shadow w14:blurRad="50800" w14:dist="38100" w14:dir="2700000" w14:sx="100000" w14:sy="100000" w14:kx="0" w14:ky="0" w14:algn="tl">
            <w14:srgbClr w14:val="000000">
              <w14:alpha w14:val="60000"/>
            </w14:srgbClr>
          </w14:shadow>
        </w:rPr>
      </w:pPr>
    </w:p>
    <w:p w:rsidR="001142A5" w:rsidRPr="004C7355" w:rsidRDefault="001142A5" w:rsidP="001142A5">
      <w:pPr>
        <w:pStyle w:val="Footer"/>
        <w:outlineLvl w:val="0"/>
        <w:rPr>
          <w:b/>
          <w:bCs/>
          <w:sz w:val="28"/>
          <w:szCs w:val="28"/>
          <w:lang w:val="en-US"/>
          <w14:shadow w14:blurRad="50800" w14:dist="38100" w14:dir="2700000" w14:sx="100000" w14:sy="100000" w14:kx="0" w14:ky="0" w14:algn="tl">
            <w14:srgbClr w14:val="000000">
              <w14:alpha w14:val="60000"/>
            </w14:srgbClr>
          </w14:shadow>
        </w:rPr>
      </w:pPr>
    </w:p>
    <w:p w:rsidR="001142A5" w:rsidRPr="004C7355" w:rsidRDefault="001142A5" w:rsidP="001142A5">
      <w:pPr>
        <w:pStyle w:val="Footer"/>
        <w:outlineLvl w:val="0"/>
        <w:rPr>
          <w:b/>
          <w:bCs/>
          <w:sz w:val="28"/>
          <w:szCs w:val="28"/>
          <w:lang w:val="en-US"/>
          <w14:shadow w14:blurRad="50800" w14:dist="38100" w14:dir="2700000" w14:sx="100000" w14:sy="100000" w14:kx="0" w14:ky="0" w14:algn="tl">
            <w14:srgbClr w14:val="000000">
              <w14:alpha w14:val="60000"/>
            </w14:srgbClr>
          </w14:shadow>
        </w:rPr>
      </w:pPr>
    </w:p>
    <w:p w:rsidR="001142A5" w:rsidRPr="004C7355" w:rsidRDefault="001142A5" w:rsidP="001142A5">
      <w:pPr>
        <w:pStyle w:val="Footer"/>
        <w:outlineLvl w:val="0"/>
        <w:rPr>
          <w:b/>
          <w:bCs/>
          <w:sz w:val="28"/>
          <w:szCs w:val="28"/>
          <w:lang w:val="en-US"/>
          <w14:shadow w14:blurRad="50800" w14:dist="38100" w14:dir="2700000" w14:sx="100000" w14:sy="100000" w14:kx="0" w14:ky="0" w14:algn="tl">
            <w14:srgbClr w14:val="000000">
              <w14:alpha w14:val="60000"/>
            </w14:srgbClr>
          </w14:shadow>
        </w:rPr>
      </w:pPr>
    </w:p>
    <w:p w:rsidR="001142A5" w:rsidRPr="004C7355" w:rsidRDefault="001142A5" w:rsidP="001142A5">
      <w:pPr>
        <w:pStyle w:val="Footer"/>
        <w:outlineLvl w:val="0"/>
        <w:rPr>
          <w:b/>
          <w:bCs/>
          <w:sz w:val="28"/>
          <w:szCs w:val="28"/>
          <w:lang w:val="en-US"/>
          <w14:shadow w14:blurRad="50800" w14:dist="38100" w14:dir="2700000" w14:sx="100000" w14:sy="100000" w14:kx="0" w14:ky="0" w14:algn="tl">
            <w14:srgbClr w14:val="000000">
              <w14:alpha w14:val="60000"/>
            </w14:srgbClr>
          </w14:shadow>
        </w:rPr>
      </w:pPr>
    </w:p>
    <w:p w:rsidR="001142A5" w:rsidRPr="004C7355" w:rsidRDefault="001142A5" w:rsidP="001142A5">
      <w:pPr>
        <w:pStyle w:val="Footer"/>
        <w:outlineLvl w:val="0"/>
        <w:rPr>
          <w:b/>
          <w:bCs/>
          <w:sz w:val="28"/>
          <w:szCs w:val="28"/>
          <w:lang w:val="en-US"/>
          <w14:shadow w14:blurRad="50800" w14:dist="38100" w14:dir="2700000" w14:sx="100000" w14:sy="100000" w14:kx="0" w14:ky="0" w14:algn="tl">
            <w14:srgbClr w14:val="000000">
              <w14:alpha w14:val="60000"/>
            </w14:srgbClr>
          </w14:shadow>
        </w:rPr>
      </w:pPr>
    </w:p>
    <w:p w:rsidR="001142A5" w:rsidRPr="004C7355" w:rsidRDefault="001142A5" w:rsidP="001142A5">
      <w:pPr>
        <w:pStyle w:val="Footer"/>
        <w:outlineLvl w:val="0"/>
        <w:rPr>
          <w:b/>
          <w:bCs/>
          <w:sz w:val="28"/>
          <w:szCs w:val="28"/>
          <w:lang w:val="en-US"/>
          <w14:shadow w14:blurRad="50800" w14:dist="38100" w14:dir="2700000" w14:sx="100000" w14:sy="100000" w14:kx="0" w14:ky="0" w14:algn="tl">
            <w14:srgbClr w14:val="000000">
              <w14:alpha w14:val="60000"/>
            </w14:srgbClr>
          </w14:shadow>
        </w:rPr>
      </w:pPr>
    </w:p>
    <w:p w:rsidR="001142A5" w:rsidRPr="004C7355" w:rsidRDefault="001142A5" w:rsidP="001142A5">
      <w:pPr>
        <w:pStyle w:val="Footer"/>
        <w:outlineLvl w:val="0"/>
        <w:rPr>
          <w:b/>
          <w:bCs/>
          <w:sz w:val="28"/>
          <w:szCs w:val="28"/>
          <w:lang w:val="en-US"/>
          <w14:shadow w14:blurRad="50800" w14:dist="38100" w14:dir="2700000" w14:sx="100000" w14:sy="100000" w14:kx="0" w14:ky="0" w14:algn="tl">
            <w14:srgbClr w14:val="000000">
              <w14:alpha w14:val="60000"/>
            </w14:srgbClr>
          </w14:shadow>
        </w:rPr>
      </w:pPr>
    </w:p>
    <w:p w:rsidR="001142A5" w:rsidRPr="004C7355" w:rsidRDefault="001142A5" w:rsidP="001142A5">
      <w:pPr>
        <w:pStyle w:val="Footer"/>
        <w:outlineLvl w:val="0"/>
        <w:rPr>
          <w:b/>
          <w:bCs/>
          <w:sz w:val="28"/>
          <w:szCs w:val="28"/>
          <w:lang w:val="en-US"/>
          <w14:shadow w14:blurRad="50800" w14:dist="38100" w14:dir="2700000" w14:sx="100000" w14:sy="100000" w14:kx="0" w14:ky="0" w14:algn="tl">
            <w14:srgbClr w14:val="000000">
              <w14:alpha w14:val="60000"/>
            </w14:srgbClr>
          </w14:shadow>
        </w:rPr>
      </w:pPr>
    </w:p>
    <w:p w:rsidR="001142A5" w:rsidRPr="004C7355" w:rsidRDefault="001142A5" w:rsidP="001142A5">
      <w:pPr>
        <w:pStyle w:val="Footer"/>
        <w:outlineLvl w:val="0"/>
        <w:rPr>
          <w:b/>
          <w:bCs/>
          <w:sz w:val="28"/>
          <w:szCs w:val="28"/>
          <w:lang w:val="en-US"/>
          <w14:shadow w14:blurRad="50800" w14:dist="38100" w14:dir="2700000" w14:sx="100000" w14:sy="100000" w14:kx="0" w14:ky="0" w14:algn="tl">
            <w14:srgbClr w14:val="000000">
              <w14:alpha w14:val="60000"/>
            </w14:srgbClr>
          </w14:shadow>
        </w:rPr>
      </w:pPr>
    </w:p>
    <w:p w:rsidR="001142A5" w:rsidRPr="004C7355" w:rsidRDefault="001142A5" w:rsidP="001142A5">
      <w:pPr>
        <w:pStyle w:val="Footer"/>
        <w:outlineLvl w:val="0"/>
        <w:rPr>
          <w:b/>
          <w:bCs/>
          <w:sz w:val="28"/>
          <w:szCs w:val="28"/>
          <w:lang w:val="en-US"/>
          <w14:shadow w14:blurRad="50800" w14:dist="38100" w14:dir="2700000" w14:sx="100000" w14:sy="100000" w14:kx="0" w14:ky="0" w14:algn="tl">
            <w14:srgbClr w14:val="000000">
              <w14:alpha w14:val="60000"/>
            </w14:srgbClr>
          </w14:shadow>
        </w:rPr>
      </w:pPr>
    </w:p>
    <w:p w:rsidR="001142A5" w:rsidRPr="004C7355" w:rsidRDefault="001142A5" w:rsidP="001142A5">
      <w:pPr>
        <w:pStyle w:val="Footer"/>
        <w:outlineLvl w:val="0"/>
        <w:rPr>
          <w:b/>
          <w:bCs/>
          <w:sz w:val="28"/>
          <w:szCs w:val="28"/>
          <w:lang w:val="en-US"/>
          <w14:shadow w14:blurRad="50800" w14:dist="38100" w14:dir="2700000" w14:sx="100000" w14:sy="100000" w14:kx="0" w14:ky="0" w14:algn="tl">
            <w14:srgbClr w14:val="000000">
              <w14:alpha w14:val="60000"/>
            </w14:srgbClr>
          </w14:shadow>
        </w:rPr>
      </w:pPr>
    </w:p>
    <w:p w:rsidR="001142A5" w:rsidRPr="004C7355" w:rsidRDefault="001142A5" w:rsidP="001142A5">
      <w:pPr>
        <w:pStyle w:val="Footer"/>
        <w:outlineLvl w:val="0"/>
        <w:rPr>
          <w:b/>
          <w:bCs/>
          <w:sz w:val="28"/>
          <w:szCs w:val="28"/>
          <w:lang w:val="en-US"/>
          <w14:shadow w14:blurRad="50800" w14:dist="38100" w14:dir="2700000" w14:sx="100000" w14:sy="100000" w14:kx="0" w14:ky="0" w14:algn="tl">
            <w14:srgbClr w14:val="000000">
              <w14:alpha w14:val="60000"/>
            </w14:srgbClr>
          </w14:shadow>
        </w:rPr>
      </w:pPr>
    </w:p>
    <w:p w:rsidR="001142A5" w:rsidRPr="004C7355" w:rsidRDefault="001142A5" w:rsidP="001142A5">
      <w:pPr>
        <w:pStyle w:val="Footer"/>
        <w:outlineLvl w:val="0"/>
        <w:rPr>
          <w:b/>
          <w:bCs/>
          <w:sz w:val="28"/>
          <w:szCs w:val="28"/>
          <w:lang w:val="en-US"/>
          <w14:shadow w14:blurRad="50800" w14:dist="38100" w14:dir="2700000" w14:sx="100000" w14:sy="100000" w14:kx="0" w14:ky="0" w14:algn="tl">
            <w14:srgbClr w14:val="000000">
              <w14:alpha w14:val="60000"/>
            </w14:srgbClr>
          </w14:shadow>
        </w:rPr>
      </w:pPr>
    </w:p>
    <w:p w:rsidR="001142A5" w:rsidRPr="004C7355" w:rsidRDefault="001142A5" w:rsidP="00155502">
      <w:pPr>
        <w:pStyle w:val="Footer"/>
        <w:jc w:val="center"/>
        <w:outlineLvl w:val="0"/>
        <w:rPr>
          <w:b/>
          <w:bCs/>
          <w:i/>
          <w:iCs/>
          <w:sz w:val="28"/>
          <w:szCs w:val="28"/>
          <w:lang w:val="en-US"/>
          <w14:shadow w14:blurRad="50800" w14:dist="38100" w14:dir="2700000" w14:sx="100000" w14:sy="100000" w14:kx="0" w14:ky="0" w14:algn="tl">
            <w14:srgbClr w14:val="000000">
              <w14:alpha w14:val="60000"/>
            </w14:srgbClr>
          </w14:shadow>
        </w:rPr>
      </w:pPr>
      <w:r>
        <w:rPr>
          <w:color w:val="000000"/>
          <w:sz w:val="22"/>
          <w:szCs w:val="22"/>
          <w:lang w:val="en-US"/>
        </w:rPr>
        <w:br w:type="page"/>
      </w:r>
      <w:r w:rsidRPr="004C7355">
        <w:rPr>
          <w:b/>
          <w:bCs/>
          <w:sz w:val="28"/>
          <w:szCs w:val="28"/>
          <w:lang w:val="en-US"/>
          <w14:shadow w14:blurRad="50800" w14:dist="38100" w14:dir="2700000" w14:sx="100000" w14:sy="100000" w14:kx="0" w14:ky="0" w14:algn="tl">
            <w14:srgbClr w14:val="000000">
              <w14:alpha w14:val="60000"/>
            </w14:srgbClr>
          </w14:shadow>
        </w:rPr>
        <w:lastRenderedPageBreak/>
        <w:t>Trends in the UCITS Market</w:t>
      </w:r>
    </w:p>
    <w:p w:rsidR="001142A5" w:rsidRPr="004C7355" w:rsidRDefault="001142A5" w:rsidP="00155502">
      <w:pPr>
        <w:pStyle w:val="Footer"/>
        <w:jc w:val="center"/>
        <w:rPr>
          <w:b/>
          <w:bCs/>
          <w:i/>
          <w:iCs/>
          <w:sz w:val="28"/>
          <w:szCs w:val="28"/>
          <w:lang w:val="en-US"/>
          <w14:shadow w14:blurRad="50800" w14:dist="38100" w14:dir="2700000" w14:sx="100000" w14:sy="100000" w14:kx="0" w14:ky="0" w14:algn="tl">
            <w14:srgbClr w14:val="000000">
              <w14:alpha w14:val="60000"/>
            </w14:srgbClr>
          </w14:shadow>
        </w:rPr>
      </w:pPr>
      <w:r w:rsidRPr="004C7355">
        <w:rPr>
          <w:b/>
          <w:bCs/>
          <w:i/>
          <w:iCs/>
          <w:sz w:val="28"/>
          <w:szCs w:val="28"/>
          <w:lang w:val="en-US"/>
          <w14:shadow w14:blurRad="50800" w14:dist="38100" w14:dir="2700000" w14:sx="100000" w14:sy="100000" w14:kx="0" w14:ky="0" w14:algn="tl">
            <w14:srgbClr w14:val="000000">
              <w14:alpha w14:val="60000"/>
            </w14:srgbClr>
          </w14:shadow>
        </w:rPr>
        <w:t>Net Assets by Country of Domiciliation</w:t>
      </w:r>
    </w:p>
    <w:bookmarkEnd w:id="0"/>
    <w:p w:rsidR="001142A5" w:rsidRDefault="001142A5" w:rsidP="001142A5">
      <w:pPr>
        <w:pStyle w:val="FootnoteText"/>
        <w:jc w:val="both"/>
        <w:rPr>
          <w:bCs/>
          <w:color w:val="000000"/>
          <w:sz w:val="22"/>
          <w:szCs w:val="22"/>
        </w:rPr>
      </w:pPr>
    </w:p>
    <w:p w:rsidR="001142A5" w:rsidRPr="00262840" w:rsidRDefault="00037A72" w:rsidP="001142A5">
      <w:pPr>
        <w:pStyle w:val="FootnoteText"/>
        <w:jc w:val="both"/>
        <w:rPr>
          <w:b/>
          <w:bCs/>
          <w:color w:val="0000FF"/>
          <w:sz w:val="22"/>
          <w:szCs w:val="22"/>
        </w:rPr>
      </w:pPr>
      <w:r>
        <w:rPr>
          <w:b/>
          <w:bCs/>
          <w:color w:val="0000FF"/>
          <w:sz w:val="22"/>
          <w:szCs w:val="22"/>
        </w:rPr>
        <w:t>Twenty-three</w:t>
      </w:r>
      <w:r w:rsidR="00155502">
        <w:rPr>
          <w:b/>
          <w:bCs/>
          <w:color w:val="0000FF"/>
          <w:sz w:val="22"/>
          <w:szCs w:val="22"/>
        </w:rPr>
        <w:t xml:space="preserve"> </w:t>
      </w:r>
      <w:r w:rsidR="001142A5">
        <w:rPr>
          <w:b/>
          <w:bCs/>
          <w:color w:val="0000FF"/>
          <w:sz w:val="22"/>
          <w:szCs w:val="22"/>
        </w:rPr>
        <w:t>domiciles</w:t>
      </w:r>
      <w:r w:rsidR="001142A5" w:rsidRPr="00262840">
        <w:rPr>
          <w:b/>
          <w:bCs/>
          <w:color w:val="0000FF"/>
          <w:sz w:val="22"/>
          <w:szCs w:val="22"/>
        </w:rPr>
        <w:t xml:space="preserve"> </w:t>
      </w:r>
      <w:r w:rsidR="001142A5">
        <w:rPr>
          <w:b/>
          <w:bCs/>
          <w:color w:val="0000FF"/>
          <w:sz w:val="22"/>
          <w:szCs w:val="22"/>
        </w:rPr>
        <w:t xml:space="preserve">recorded net asset growth at end </w:t>
      </w:r>
      <w:r w:rsidR="00DB7708">
        <w:rPr>
          <w:b/>
          <w:bCs/>
          <w:color w:val="0000FF"/>
          <w:sz w:val="22"/>
          <w:szCs w:val="22"/>
        </w:rPr>
        <w:t>Q3</w:t>
      </w:r>
      <w:r w:rsidR="001142A5">
        <w:rPr>
          <w:b/>
          <w:bCs/>
          <w:color w:val="0000FF"/>
          <w:sz w:val="22"/>
          <w:szCs w:val="22"/>
        </w:rPr>
        <w:t xml:space="preserve"> 2017</w:t>
      </w:r>
      <w:r w:rsidR="005948B1">
        <w:rPr>
          <w:b/>
          <w:bCs/>
          <w:color w:val="0000FF"/>
          <w:sz w:val="22"/>
          <w:szCs w:val="22"/>
        </w:rPr>
        <w:t>,</w:t>
      </w:r>
      <w:r w:rsidR="001142A5">
        <w:rPr>
          <w:b/>
          <w:bCs/>
          <w:color w:val="0000FF"/>
          <w:sz w:val="22"/>
          <w:szCs w:val="22"/>
        </w:rPr>
        <w:t xml:space="preserve"> with net as</w:t>
      </w:r>
      <w:r w:rsidR="00155502">
        <w:rPr>
          <w:b/>
          <w:bCs/>
          <w:color w:val="0000FF"/>
          <w:sz w:val="22"/>
          <w:szCs w:val="22"/>
        </w:rPr>
        <w:t>sets of UCITS reaching EUR 9,41</w:t>
      </w:r>
      <w:r w:rsidR="00E04B90">
        <w:rPr>
          <w:b/>
          <w:bCs/>
          <w:color w:val="0000FF"/>
          <w:sz w:val="22"/>
          <w:szCs w:val="22"/>
        </w:rPr>
        <w:t>6</w:t>
      </w:r>
      <w:r w:rsidR="001142A5">
        <w:rPr>
          <w:b/>
          <w:bCs/>
          <w:color w:val="0000FF"/>
          <w:sz w:val="22"/>
          <w:szCs w:val="22"/>
        </w:rPr>
        <w:t xml:space="preserve"> billion.</w:t>
      </w:r>
    </w:p>
    <w:p w:rsidR="00AC5AAD" w:rsidRDefault="00AC5AAD" w:rsidP="001142A5">
      <w:pPr>
        <w:pStyle w:val="FootnoteText"/>
        <w:jc w:val="both"/>
        <w:rPr>
          <w:b/>
          <w:bCs/>
          <w:color w:val="0000FF"/>
          <w:sz w:val="22"/>
          <w:szCs w:val="22"/>
        </w:rPr>
      </w:pPr>
    </w:p>
    <w:p w:rsidR="000B2912" w:rsidRDefault="00AD517C" w:rsidP="00944B84">
      <w:pPr>
        <w:jc w:val="both"/>
      </w:pPr>
      <w:r>
        <w:t>In Western Europe</w:t>
      </w:r>
      <w:r w:rsidR="00AC5AAD">
        <w:t>,</w:t>
      </w:r>
      <w:r>
        <w:t xml:space="preserve"> </w:t>
      </w:r>
      <w:r w:rsidR="00155502">
        <w:t xml:space="preserve">the Netherlands </w:t>
      </w:r>
      <w:r>
        <w:t>recorded t</w:t>
      </w:r>
      <w:r w:rsidR="00155502">
        <w:t>he largest net asset growth (4.</w:t>
      </w:r>
      <w:r w:rsidR="005B3F71">
        <w:t>7</w:t>
      </w:r>
      <w:r>
        <w:t>%), followed by</w:t>
      </w:r>
      <w:r w:rsidR="00AC5AAD">
        <w:t xml:space="preserve"> </w:t>
      </w:r>
      <w:r w:rsidR="00155502">
        <w:t>Germany</w:t>
      </w:r>
      <w:r>
        <w:t xml:space="preserve"> </w:t>
      </w:r>
      <w:r w:rsidR="00DC4BFC">
        <w:t>(</w:t>
      </w:r>
      <w:r w:rsidR="00155502">
        <w:t>4.0</w:t>
      </w:r>
      <w:r w:rsidR="00DC4BFC">
        <w:t xml:space="preserve">%) </w:t>
      </w:r>
      <w:r>
        <w:t xml:space="preserve">and </w:t>
      </w:r>
      <w:r w:rsidR="00155502">
        <w:t xml:space="preserve">France </w:t>
      </w:r>
      <w:r w:rsidR="005948B1">
        <w:t>(</w:t>
      </w:r>
      <w:r w:rsidR="00155502">
        <w:t>3.</w:t>
      </w:r>
      <w:r w:rsidR="005B3F71">
        <w:t>9</w:t>
      </w:r>
      <w:r w:rsidR="005948B1">
        <w:t>%)</w:t>
      </w:r>
      <w:r>
        <w:t xml:space="preserve">. </w:t>
      </w:r>
      <w:r w:rsidR="00EB1B71">
        <w:t xml:space="preserve">With the exception of Greece, all domiciles in the </w:t>
      </w:r>
      <w:r w:rsidR="001B09E3">
        <w:t>Southern European</w:t>
      </w:r>
      <w:r w:rsidR="00EB1B71">
        <w:t xml:space="preserve"> region experienced net asset growth with the largest growth in Cypr</w:t>
      </w:r>
      <w:r w:rsidR="00037A72">
        <w:t>us (18.0%). Net asset growth was</w:t>
      </w:r>
      <w:r w:rsidR="00EB1B71">
        <w:t xml:space="preserve"> seen across the board i</w:t>
      </w:r>
      <w:r w:rsidR="00DC2BB1">
        <w:t>n the N</w:t>
      </w:r>
      <w:r>
        <w:t>ordic countries</w:t>
      </w:r>
      <w:r w:rsidR="00DC2BB1">
        <w:t xml:space="preserve">, </w:t>
      </w:r>
      <w:r w:rsidR="006E684B">
        <w:t>with the largest net asset increase</w:t>
      </w:r>
      <w:r w:rsidR="00DC2BB1">
        <w:t xml:space="preserve"> registered in </w:t>
      </w:r>
      <w:r w:rsidR="00EB1B71">
        <w:t>Norway (5.1</w:t>
      </w:r>
      <w:r w:rsidR="00DC2BB1">
        <w:t>%)</w:t>
      </w:r>
      <w:r w:rsidR="00827F03">
        <w:t xml:space="preserve">. </w:t>
      </w:r>
      <w:r w:rsidR="00DC2BB1">
        <w:t>In Central and Eastern Europe, th</w:t>
      </w:r>
      <w:r w:rsidR="001142A5">
        <w:t>e larg</w:t>
      </w:r>
      <w:r w:rsidR="006E684B">
        <w:t>est increase</w:t>
      </w:r>
      <w:r w:rsidR="001142A5">
        <w:t xml:space="preserve"> in net assets </w:t>
      </w:r>
      <w:r w:rsidR="00DC2BB1">
        <w:t>w</w:t>
      </w:r>
      <w:r w:rsidR="006E684B">
        <w:t>as</w:t>
      </w:r>
      <w:r w:rsidR="00DC2BB1">
        <w:t xml:space="preserve"> recorded </w:t>
      </w:r>
      <w:r w:rsidR="000B2912">
        <w:t>in Bulgaria (8.7%)</w:t>
      </w:r>
      <w:r w:rsidR="00C96571">
        <w:t>.</w:t>
      </w:r>
      <w:r w:rsidR="000B2912">
        <w:t xml:space="preserve"> </w:t>
      </w:r>
    </w:p>
    <w:p w:rsidR="001142A5" w:rsidRDefault="001142A5" w:rsidP="00944B84">
      <w:pPr>
        <w:pStyle w:val="FootnoteText"/>
        <w:tabs>
          <w:tab w:val="left" w:pos="360"/>
        </w:tabs>
        <w:jc w:val="both"/>
      </w:pPr>
    </w:p>
    <w:p w:rsidR="001142A5" w:rsidRDefault="00F7552D" w:rsidP="00AD3D5F">
      <w:pPr>
        <w:pStyle w:val="FootnoteText"/>
        <w:tabs>
          <w:tab w:val="left" w:pos="360"/>
        </w:tabs>
        <w:jc w:val="center"/>
      </w:pPr>
      <w:r w:rsidRPr="00F7552D">
        <w:rPr>
          <w:noProof/>
          <w:lang w:val="nl-BE" w:eastAsia="nl-BE"/>
        </w:rPr>
        <w:drawing>
          <wp:anchor distT="0" distB="0" distL="114300" distR="114300" simplePos="0" relativeHeight="251707392" behindDoc="0" locked="0" layoutInCell="1" allowOverlap="1">
            <wp:simplePos x="0" y="0"/>
            <wp:positionH relativeFrom="column">
              <wp:posOffset>563275</wp:posOffset>
            </wp:positionH>
            <wp:positionV relativeFrom="paragraph">
              <wp:posOffset>96698</wp:posOffset>
            </wp:positionV>
            <wp:extent cx="5234400" cy="5932800"/>
            <wp:effectExtent l="0" t="0" r="444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34400" cy="593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142A5" w:rsidRDefault="001142A5" w:rsidP="00AD3D5F">
      <w:pPr>
        <w:pStyle w:val="FootnoteText"/>
        <w:tabs>
          <w:tab w:val="left" w:pos="360"/>
        </w:tabs>
        <w:jc w:val="center"/>
      </w:pPr>
    </w:p>
    <w:p w:rsidR="001142A5" w:rsidRDefault="001142A5" w:rsidP="00AD3D5F">
      <w:pPr>
        <w:pStyle w:val="FootnoteText"/>
        <w:tabs>
          <w:tab w:val="left" w:pos="360"/>
        </w:tabs>
        <w:jc w:val="center"/>
      </w:pPr>
    </w:p>
    <w:p w:rsidR="001142A5" w:rsidRDefault="001142A5" w:rsidP="00AD3D5F">
      <w:pPr>
        <w:pStyle w:val="FootnoteText"/>
        <w:tabs>
          <w:tab w:val="left" w:pos="360"/>
        </w:tabs>
        <w:jc w:val="center"/>
      </w:pPr>
    </w:p>
    <w:p w:rsidR="001142A5" w:rsidRDefault="001142A5" w:rsidP="00AD3D5F">
      <w:pPr>
        <w:pStyle w:val="FootnoteText"/>
        <w:tabs>
          <w:tab w:val="left" w:pos="360"/>
        </w:tabs>
        <w:jc w:val="center"/>
      </w:pPr>
    </w:p>
    <w:p w:rsidR="001142A5" w:rsidRDefault="001142A5" w:rsidP="00AD3D5F">
      <w:pPr>
        <w:pStyle w:val="FootnoteText"/>
        <w:tabs>
          <w:tab w:val="left" w:pos="360"/>
        </w:tabs>
        <w:jc w:val="center"/>
      </w:pPr>
    </w:p>
    <w:p w:rsidR="001142A5" w:rsidRDefault="001142A5" w:rsidP="00AD3D5F">
      <w:pPr>
        <w:pStyle w:val="FootnoteText"/>
        <w:tabs>
          <w:tab w:val="left" w:pos="360"/>
        </w:tabs>
        <w:jc w:val="center"/>
      </w:pPr>
    </w:p>
    <w:p w:rsidR="001142A5" w:rsidRDefault="001142A5" w:rsidP="00AD3D5F">
      <w:pPr>
        <w:pStyle w:val="FootnoteText"/>
        <w:tabs>
          <w:tab w:val="left" w:pos="360"/>
        </w:tabs>
        <w:jc w:val="center"/>
      </w:pPr>
    </w:p>
    <w:p w:rsidR="001142A5" w:rsidRDefault="001142A5" w:rsidP="00AD3D5F">
      <w:pPr>
        <w:pStyle w:val="FootnoteText"/>
        <w:tabs>
          <w:tab w:val="left" w:pos="360"/>
        </w:tabs>
        <w:jc w:val="center"/>
      </w:pPr>
    </w:p>
    <w:p w:rsidR="001142A5" w:rsidRDefault="001142A5" w:rsidP="00AD3D5F">
      <w:pPr>
        <w:pStyle w:val="FootnoteText"/>
        <w:tabs>
          <w:tab w:val="left" w:pos="360"/>
        </w:tabs>
        <w:jc w:val="center"/>
      </w:pPr>
    </w:p>
    <w:p w:rsidR="001142A5" w:rsidRDefault="001142A5" w:rsidP="00AD3D5F">
      <w:pPr>
        <w:pStyle w:val="FootnoteText"/>
        <w:tabs>
          <w:tab w:val="left" w:pos="360"/>
        </w:tabs>
        <w:jc w:val="center"/>
      </w:pPr>
    </w:p>
    <w:p w:rsidR="001142A5" w:rsidRDefault="001142A5" w:rsidP="00AD3D5F">
      <w:pPr>
        <w:pStyle w:val="FootnoteText"/>
        <w:tabs>
          <w:tab w:val="left" w:pos="360"/>
        </w:tabs>
        <w:jc w:val="center"/>
      </w:pPr>
    </w:p>
    <w:p w:rsidR="001142A5" w:rsidRDefault="001142A5" w:rsidP="00AD3D5F">
      <w:pPr>
        <w:pStyle w:val="FootnoteText"/>
        <w:tabs>
          <w:tab w:val="left" w:pos="360"/>
        </w:tabs>
        <w:jc w:val="center"/>
      </w:pPr>
    </w:p>
    <w:p w:rsidR="001142A5" w:rsidRDefault="001142A5" w:rsidP="00AD3D5F">
      <w:pPr>
        <w:pStyle w:val="FootnoteText"/>
        <w:tabs>
          <w:tab w:val="left" w:pos="360"/>
        </w:tabs>
        <w:jc w:val="center"/>
      </w:pPr>
    </w:p>
    <w:p w:rsidR="001142A5" w:rsidRDefault="001142A5" w:rsidP="00AD3D5F">
      <w:pPr>
        <w:pStyle w:val="FootnoteText"/>
        <w:tabs>
          <w:tab w:val="left" w:pos="360"/>
        </w:tabs>
        <w:jc w:val="center"/>
      </w:pPr>
    </w:p>
    <w:p w:rsidR="001142A5" w:rsidRDefault="001142A5" w:rsidP="00AD3D5F">
      <w:pPr>
        <w:pStyle w:val="FootnoteText"/>
        <w:tabs>
          <w:tab w:val="left" w:pos="360"/>
        </w:tabs>
        <w:jc w:val="center"/>
      </w:pPr>
    </w:p>
    <w:p w:rsidR="001142A5" w:rsidRDefault="001142A5" w:rsidP="00AD3D5F">
      <w:pPr>
        <w:pStyle w:val="FootnoteText"/>
        <w:tabs>
          <w:tab w:val="left" w:pos="360"/>
        </w:tabs>
        <w:jc w:val="center"/>
      </w:pPr>
    </w:p>
    <w:p w:rsidR="001142A5" w:rsidRDefault="001142A5" w:rsidP="00AD3D5F">
      <w:pPr>
        <w:pStyle w:val="FootnoteText"/>
        <w:tabs>
          <w:tab w:val="left" w:pos="360"/>
        </w:tabs>
        <w:jc w:val="center"/>
      </w:pPr>
    </w:p>
    <w:p w:rsidR="001142A5" w:rsidRDefault="001142A5" w:rsidP="00AD3D5F">
      <w:pPr>
        <w:pStyle w:val="FootnoteText"/>
        <w:tabs>
          <w:tab w:val="left" w:pos="360"/>
        </w:tabs>
        <w:jc w:val="center"/>
      </w:pPr>
    </w:p>
    <w:p w:rsidR="001142A5" w:rsidRDefault="001142A5" w:rsidP="00AD3D5F">
      <w:pPr>
        <w:pStyle w:val="FootnoteText"/>
        <w:tabs>
          <w:tab w:val="left" w:pos="360"/>
        </w:tabs>
        <w:jc w:val="center"/>
      </w:pPr>
    </w:p>
    <w:p w:rsidR="001142A5" w:rsidRDefault="001142A5" w:rsidP="00AD3D5F">
      <w:pPr>
        <w:pStyle w:val="FootnoteText"/>
        <w:tabs>
          <w:tab w:val="left" w:pos="360"/>
        </w:tabs>
        <w:jc w:val="center"/>
      </w:pPr>
    </w:p>
    <w:p w:rsidR="001142A5" w:rsidRDefault="001142A5" w:rsidP="00AD3D5F">
      <w:pPr>
        <w:pStyle w:val="FootnoteText"/>
        <w:tabs>
          <w:tab w:val="left" w:pos="360"/>
        </w:tabs>
        <w:jc w:val="center"/>
      </w:pPr>
    </w:p>
    <w:p w:rsidR="001142A5" w:rsidRDefault="001142A5" w:rsidP="00AD3D5F">
      <w:pPr>
        <w:pStyle w:val="FootnoteText"/>
        <w:tabs>
          <w:tab w:val="left" w:pos="360"/>
        </w:tabs>
        <w:jc w:val="center"/>
      </w:pPr>
    </w:p>
    <w:p w:rsidR="001142A5" w:rsidRDefault="001142A5" w:rsidP="00AD3D5F">
      <w:pPr>
        <w:pStyle w:val="FootnoteText"/>
        <w:tabs>
          <w:tab w:val="left" w:pos="360"/>
        </w:tabs>
        <w:jc w:val="center"/>
      </w:pPr>
    </w:p>
    <w:p w:rsidR="001142A5" w:rsidRDefault="001142A5" w:rsidP="00AD3D5F">
      <w:pPr>
        <w:pStyle w:val="FootnoteText"/>
        <w:tabs>
          <w:tab w:val="left" w:pos="360"/>
        </w:tabs>
        <w:jc w:val="center"/>
      </w:pPr>
    </w:p>
    <w:p w:rsidR="001142A5" w:rsidRDefault="001142A5" w:rsidP="00AD3D5F">
      <w:pPr>
        <w:pStyle w:val="FootnoteText"/>
        <w:tabs>
          <w:tab w:val="left" w:pos="360"/>
        </w:tabs>
        <w:jc w:val="center"/>
      </w:pPr>
    </w:p>
    <w:p w:rsidR="001142A5" w:rsidRDefault="001142A5" w:rsidP="00AD3D5F">
      <w:pPr>
        <w:pStyle w:val="FootnoteText"/>
        <w:tabs>
          <w:tab w:val="left" w:pos="360"/>
        </w:tabs>
        <w:jc w:val="center"/>
      </w:pPr>
    </w:p>
    <w:p w:rsidR="001142A5" w:rsidRDefault="001142A5" w:rsidP="00AD3D5F">
      <w:pPr>
        <w:pStyle w:val="FootnoteText"/>
        <w:tabs>
          <w:tab w:val="left" w:pos="360"/>
        </w:tabs>
        <w:jc w:val="center"/>
      </w:pPr>
    </w:p>
    <w:p w:rsidR="001142A5" w:rsidRDefault="001142A5" w:rsidP="00AD3D5F">
      <w:pPr>
        <w:pStyle w:val="FootnoteText"/>
        <w:tabs>
          <w:tab w:val="left" w:pos="360"/>
        </w:tabs>
        <w:jc w:val="center"/>
      </w:pPr>
    </w:p>
    <w:p w:rsidR="001142A5" w:rsidRDefault="001142A5" w:rsidP="00AD3D5F">
      <w:pPr>
        <w:pStyle w:val="FootnoteText"/>
        <w:tabs>
          <w:tab w:val="left" w:pos="360"/>
        </w:tabs>
        <w:jc w:val="center"/>
      </w:pPr>
    </w:p>
    <w:p w:rsidR="001142A5" w:rsidRDefault="001142A5" w:rsidP="00AD3D5F">
      <w:pPr>
        <w:pStyle w:val="FootnoteText"/>
        <w:tabs>
          <w:tab w:val="left" w:pos="360"/>
        </w:tabs>
        <w:jc w:val="center"/>
      </w:pPr>
    </w:p>
    <w:p w:rsidR="001142A5" w:rsidRDefault="001142A5" w:rsidP="00AD3D5F">
      <w:pPr>
        <w:pStyle w:val="FootnoteText"/>
        <w:tabs>
          <w:tab w:val="left" w:pos="360"/>
        </w:tabs>
        <w:jc w:val="center"/>
      </w:pPr>
    </w:p>
    <w:p w:rsidR="001142A5" w:rsidRDefault="001142A5" w:rsidP="00AD3D5F">
      <w:pPr>
        <w:pStyle w:val="FootnoteText"/>
        <w:tabs>
          <w:tab w:val="left" w:pos="360"/>
        </w:tabs>
        <w:jc w:val="center"/>
      </w:pPr>
    </w:p>
    <w:p w:rsidR="001142A5" w:rsidRDefault="001142A5" w:rsidP="00AD3D5F">
      <w:pPr>
        <w:pStyle w:val="FootnoteText"/>
        <w:tabs>
          <w:tab w:val="left" w:pos="360"/>
        </w:tabs>
        <w:jc w:val="center"/>
      </w:pPr>
    </w:p>
    <w:p w:rsidR="001142A5" w:rsidRDefault="001142A5" w:rsidP="00AD3D5F">
      <w:pPr>
        <w:pStyle w:val="FootnoteText"/>
        <w:tabs>
          <w:tab w:val="left" w:pos="360"/>
        </w:tabs>
        <w:jc w:val="center"/>
      </w:pPr>
    </w:p>
    <w:p w:rsidR="001142A5" w:rsidRDefault="001142A5" w:rsidP="00AD3D5F">
      <w:pPr>
        <w:pStyle w:val="FootnoteText"/>
        <w:tabs>
          <w:tab w:val="left" w:pos="360"/>
        </w:tabs>
        <w:jc w:val="center"/>
      </w:pPr>
    </w:p>
    <w:p w:rsidR="001142A5" w:rsidRDefault="001142A5" w:rsidP="00AD3D5F">
      <w:pPr>
        <w:pStyle w:val="FootnoteText"/>
        <w:tabs>
          <w:tab w:val="left" w:pos="360"/>
        </w:tabs>
        <w:jc w:val="center"/>
      </w:pPr>
    </w:p>
    <w:p w:rsidR="001142A5" w:rsidRDefault="001142A5" w:rsidP="00AD3D5F">
      <w:pPr>
        <w:pStyle w:val="FootnoteText"/>
        <w:tabs>
          <w:tab w:val="left" w:pos="360"/>
        </w:tabs>
        <w:jc w:val="center"/>
      </w:pPr>
    </w:p>
    <w:p w:rsidR="001142A5" w:rsidRDefault="001142A5" w:rsidP="00AD3D5F">
      <w:pPr>
        <w:pStyle w:val="FootnoteText"/>
        <w:tabs>
          <w:tab w:val="left" w:pos="360"/>
        </w:tabs>
        <w:jc w:val="center"/>
      </w:pPr>
    </w:p>
    <w:p w:rsidR="001142A5" w:rsidRDefault="001142A5" w:rsidP="00AD3D5F">
      <w:pPr>
        <w:pStyle w:val="FootnoteText"/>
        <w:tabs>
          <w:tab w:val="left" w:pos="360"/>
        </w:tabs>
        <w:jc w:val="center"/>
      </w:pPr>
    </w:p>
    <w:p w:rsidR="001142A5" w:rsidRDefault="001142A5" w:rsidP="00AD3D5F">
      <w:pPr>
        <w:pStyle w:val="FootnoteText"/>
        <w:tabs>
          <w:tab w:val="left" w:pos="360"/>
        </w:tabs>
        <w:jc w:val="center"/>
      </w:pPr>
    </w:p>
    <w:p w:rsidR="001142A5" w:rsidRDefault="001142A5" w:rsidP="00AD3D5F">
      <w:pPr>
        <w:pStyle w:val="FootnoteText"/>
        <w:tabs>
          <w:tab w:val="left" w:pos="360"/>
        </w:tabs>
        <w:jc w:val="center"/>
      </w:pPr>
    </w:p>
    <w:p w:rsidR="001142A5" w:rsidRDefault="001142A5" w:rsidP="00AD3D5F">
      <w:pPr>
        <w:pStyle w:val="FootnoteText"/>
        <w:tabs>
          <w:tab w:val="left" w:pos="360"/>
        </w:tabs>
        <w:jc w:val="center"/>
      </w:pPr>
    </w:p>
    <w:p w:rsidR="001142A5" w:rsidRDefault="001142A5" w:rsidP="00AD3D5F">
      <w:pPr>
        <w:pStyle w:val="FootnoteText"/>
        <w:tabs>
          <w:tab w:val="left" w:pos="360"/>
        </w:tabs>
        <w:jc w:val="center"/>
      </w:pPr>
    </w:p>
    <w:p w:rsidR="001142A5" w:rsidRDefault="001142A5" w:rsidP="00AD3D5F">
      <w:pPr>
        <w:pStyle w:val="FootnoteText"/>
        <w:tabs>
          <w:tab w:val="left" w:pos="360"/>
        </w:tabs>
        <w:jc w:val="center"/>
      </w:pPr>
    </w:p>
    <w:p w:rsidR="001136CB" w:rsidRDefault="001136CB">
      <w:pPr>
        <w:autoSpaceDE/>
        <w:autoSpaceDN/>
        <w:rPr>
          <w:sz w:val="20"/>
          <w:szCs w:val="20"/>
        </w:rPr>
      </w:pPr>
      <w:r>
        <w:br w:type="page"/>
      </w:r>
    </w:p>
    <w:p w:rsidR="00827F03" w:rsidRDefault="00827F03" w:rsidP="00AD3D5F">
      <w:pPr>
        <w:pStyle w:val="FootnoteText"/>
        <w:tabs>
          <w:tab w:val="left" w:pos="360"/>
        </w:tabs>
        <w:jc w:val="center"/>
      </w:pPr>
    </w:p>
    <w:p w:rsidR="001142A5" w:rsidRPr="004C7355" w:rsidRDefault="001142A5" w:rsidP="001142A5">
      <w:pPr>
        <w:pStyle w:val="Footer"/>
        <w:jc w:val="center"/>
        <w:outlineLvl w:val="0"/>
        <w:rPr>
          <w:b/>
          <w:bCs/>
          <w:sz w:val="28"/>
          <w:szCs w:val="28"/>
          <w:lang w:val="en-US"/>
          <w14:shadow w14:blurRad="50800" w14:dist="38100" w14:dir="2700000" w14:sx="100000" w14:sy="100000" w14:kx="0" w14:ky="0" w14:algn="tl">
            <w14:srgbClr w14:val="000000">
              <w14:alpha w14:val="60000"/>
            </w14:srgbClr>
          </w14:shadow>
        </w:rPr>
      </w:pPr>
      <w:r w:rsidRPr="004C7355">
        <w:rPr>
          <w:b/>
          <w:bCs/>
          <w:sz w:val="28"/>
          <w:szCs w:val="28"/>
          <w:lang w:val="en-US"/>
          <w14:shadow w14:blurRad="50800" w14:dist="38100" w14:dir="2700000" w14:sx="100000" w14:sy="100000" w14:kx="0" w14:ky="0" w14:algn="tl">
            <w14:srgbClr w14:val="000000">
              <w14:alpha w14:val="60000"/>
            </w14:srgbClr>
          </w14:shadow>
        </w:rPr>
        <w:t>Trends in the AIF Market</w:t>
      </w:r>
    </w:p>
    <w:p w:rsidR="001142A5" w:rsidRPr="004C7355" w:rsidRDefault="001142A5" w:rsidP="001142A5">
      <w:pPr>
        <w:pStyle w:val="Footer"/>
        <w:jc w:val="center"/>
        <w:outlineLvl w:val="0"/>
        <w:rPr>
          <w:b/>
          <w:bCs/>
          <w:i/>
          <w:iCs/>
          <w:sz w:val="28"/>
          <w:szCs w:val="28"/>
          <w:lang w:val="en-US"/>
          <w14:shadow w14:blurRad="50800" w14:dist="38100" w14:dir="2700000" w14:sx="100000" w14:sy="100000" w14:kx="0" w14:ky="0" w14:algn="tl">
            <w14:srgbClr w14:val="000000">
              <w14:alpha w14:val="60000"/>
            </w14:srgbClr>
          </w14:shadow>
        </w:rPr>
      </w:pPr>
      <w:r w:rsidRPr="004C7355">
        <w:rPr>
          <w:b/>
          <w:bCs/>
          <w:i/>
          <w:iCs/>
          <w:sz w:val="28"/>
          <w:szCs w:val="28"/>
          <w:lang w:val="en-US"/>
          <w14:shadow w14:blurRad="50800" w14:dist="38100" w14:dir="2700000" w14:sx="100000" w14:sy="100000" w14:kx="0" w14:ky="0" w14:algn="tl">
            <w14:srgbClr w14:val="000000">
              <w14:alpha w14:val="60000"/>
            </w14:srgbClr>
          </w14:shadow>
        </w:rPr>
        <w:t>Net Sales by Investment Type</w:t>
      </w:r>
    </w:p>
    <w:p w:rsidR="001142A5" w:rsidRDefault="001142A5" w:rsidP="001142A5">
      <w:pPr>
        <w:pStyle w:val="Footer"/>
        <w:tabs>
          <w:tab w:val="left" w:pos="720"/>
          <w:tab w:val="left" w:pos="4320"/>
        </w:tabs>
        <w:spacing w:line="260" w:lineRule="exact"/>
        <w:jc w:val="both"/>
        <w:rPr>
          <w:sz w:val="22"/>
          <w:szCs w:val="22"/>
          <w:lang w:val="en-US"/>
        </w:rPr>
      </w:pPr>
    </w:p>
    <w:p w:rsidR="00121780" w:rsidRPr="00121780" w:rsidRDefault="001142A5" w:rsidP="005A545B">
      <w:pPr>
        <w:spacing w:after="160" w:line="252" w:lineRule="auto"/>
        <w:contextualSpacing/>
        <w:jc w:val="both"/>
        <w:rPr>
          <w:b/>
          <w:bCs/>
          <w:color w:val="0000FF"/>
          <w:sz w:val="22"/>
          <w:szCs w:val="22"/>
        </w:rPr>
      </w:pPr>
      <w:r w:rsidRPr="00121780">
        <w:rPr>
          <w:b/>
          <w:bCs/>
          <w:color w:val="0000FF"/>
          <w:sz w:val="22"/>
          <w:szCs w:val="22"/>
        </w:rPr>
        <w:t>AI</w:t>
      </w:r>
      <w:r w:rsidR="00537E5C" w:rsidRPr="00121780">
        <w:rPr>
          <w:b/>
          <w:bCs/>
          <w:color w:val="0000FF"/>
          <w:sz w:val="22"/>
          <w:szCs w:val="22"/>
        </w:rPr>
        <w:t>F recorded net sale</w:t>
      </w:r>
      <w:r w:rsidR="007C5245" w:rsidRPr="00121780">
        <w:rPr>
          <w:b/>
          <w:bCs/>
          <w:color w:val="0000FF"/>
          <w:sz w:val="22"/>
          <w:szCs w:val="22"/>
        </w:rPr>
        <w:t>s of EUR 56</w:t>
      </w:r>
      <w:r w:rsidRPr="00121780">
        <w:rPr>
          <w:b/>
          <w:bCs/>
          <w:color w:val="0000FF"/>
          <w:sz w:val="22"/>
          <w:szCs w:val="22"/>
        </w:rPr>
        <w:t xml:space="preserve"> billion in </w:t>
      </w:r>
      <w:r w:rsidR="00DB7708" w:rsidRPr="00121780">
        <w:rPr>
          <w:b/>
          <w:bCs/>
          <w:color w:val="0000FF"/>
          <w:sz w:val="22"/>
          <w:szCs w:val="22"/>
        </w:rPr>
        <w:t>Q3</w:t>
      </w:r>
      <w:r w:rsidRPr="00121780">
        <w:rPr>
          <w:b/>
          <w:bCs/>
          <w:color w:val="0000FF"/>
          <w:sz w:val="22"/>
          <w:szCs w:val="22"/>
        </w:rPr>
        <w:t xml:space="preserve"> 2017</w:t>
      </w:r>
      <w:r w:rsidR="0048465B" w:rsidRPr="00121780">
        <w:rPr>
          <w:b/>
          <w:bCs/>
          <w:color w:val="0000FF"/>
          <w:sz w:val="22"/>
          <w:szCs w:val="22"/>
        </w:rPr>
        <w:t xml:space="preserve">. </w:t>
      </w:r>
      <w:r w:rsidR="00121780" w:rsidRPr="00121780">
        <w:rPr>
          <w:b/>
          <w:bCs/>
          <w:color w:val="0000FF"/>
          <w:sz w:val="22"/>
          <w:szCs w:val="22"/>
        </w:rPr>
        <w:t>During the first three quarters of 2017, AIF attracted net sales of EUR 193 billion, higher than the total net sales of EUR 186 billion in 2016 and EUR 161 billion in 2015.</w:t>
      </w:r>
    </w:p>
    <w:p w:rsidR="001142A5" w:rsidRDefault="001142A5" w:rsidP="00A6730B">
      <w:pPr>
        <w:jc w:val="both"/>
        <w:rPr>
          <w:b/>
          <w:bCs/>
          <w:color w:val="0000FF"/>
          <w:sz w:val="22"/>
          <w:szCs w:val="22"/>
        </w:rPr>
      </w:pPr>
    </w:p>
    <w:p w:rsidR="001142A5" w:rsidRDefault="001142A5" w:rsidP="001142A5">
      <w:pPr>
        <w:pStyle w:val="Footer"/>
        <w:tabs>
          <w:tab w:val="left" w:pos="720"/>
          <w:tab w:val="left" w:pos="4320"/>
        </w:tabs>
        <w:spacing w:line="260" w:lineRule="exact"/>
        <w:jc w:val="both"/>
        <w:rPr>
          <w:bCs/>
          <w:color w:val="000000"/>
          <w:sz w:val="22"/>
          <w:szCs w:val="22"/>
        </w:rPr>
      </w:pPr>
      <w:r>
        <w:rPr>
          <w:bCs/>
          <w:color w:val="000000"/>
          <w:sz w:val="22"/>
          <w:szCs w:val="22"/>
        </w:rPr>
        <w:t>Long-term AIF</w:t>
      </w:r>
      <w:r w:rsidRPr="007D3A6C">
        <w:rPr>
          <w:bCs/>
          <w:color w:val="000000"/>
          <w:sz w:val="22"/>
          <w:szCs w:val="22"/>
        </w:rPr>
        <w:t xml:space="preserve"> </w:t>
      </w:r>
      <w:r w:rsidR="009C0167">
        <w:rPr>
          <w:bCs/>
          <w:color w:val="000000"/>
          <w:sz w:val="22"/>
          <w:szCs w:val="22"/>
        </w:rPr>
        <w:t>recorded net sales</w:t>
      </w:r>
      <w:r w:rsidR="007C5245">
        <w:rPr>
          <w:bCs/>
          <w:color w:val="000000"/>
          <w:sz w:val="22"/>
          <w:szCs w:val="22"/>
        </w:rPr>
        <w:t xml:space="preserve"> of EUR 55</w:t>
      </w:r>
      <w:r w:rsidR="000E6CAA">
        <w:rPr>
          <w:bCs/>
          <w:color w:val="000000"/>
          <w:sz w:val="22"/>
          <w:szCs w:val="22"/>
        </w:rPr>
        <w:t xml:space="preserve"> billion, down</w:t>
      </w:r>
      <w:r>
        <w:rPr>
          <w:bCs/>
          <w:color w:val="000000"/>
          <w:sz w:val="22"/>
          <w:szCs w:val="22"/>
        </w:rPr>
        <w:t xml:space="preserve"> from</w:t>
      </w:r>
      <w:r w:rsidRPr="00A7353F">
        <w:rPr>
          <w:bCs/>
          <w:color w:val="000000"/>
          <w:sz w:val="22"/>
          <w:szCs w:val="22"/>
        </w:rPr>
        <w:t xml:space="preserve"> EUR </w:t>
      </w:r>
      <w:r w:rsidR="007C5245">
        <w:rPr>
          <w:bCs/>
          <w:color w:val="000000"/>
          <w:sz w:val="22"/>
          <w:szCs w:val="22"/>
        </w:rPr>
        <w:t>79</w:t>
      </w:r>
      <w:r w:rsidRPr="00A7353F">
        <w:rPr>
          <w:bCs/>
          <w:color w:val="000000"/>
          <w:sz w:val="22"/>
          <w:szCs w:val="22"/>
        </w:rPr>
        <w:t xml:space="preserve"> billion in </w:t>
      </w:r>
      <w:r w:rsidR="00DB7708">
        <w:rPr>
          <w:bCs/>
          <w:color w:val="000000"/>
          <w:sz w:val="22"/>
          <w:szCs w:val="22"/>
        </w:rPr>
        <w:t>Q2</w:t>
      </w:r>
      <w:r>
        <w:rPr>
          <w:bCs/>
          <w:color w:val="000000"/>
          <w:sz w:val="22"/>
          <w:szCs w:val="22"/>
        </w:rPr>
        <w:t xml:space="preserve"> 2017</w:t>
      </w:r>
      <w:r w:rsidRPr="00A7353F">
        <w:rPr>
          <w:bCs/>
          <w:color w:val="000000"/>
          <w:sz w:val="22"/>
          <w:szCs w:val="22"/>
        </w:rPr>
        <w:t xml:space="preserve">. </w:t>
      </w:r>
      <w:r>
        <w:rPr>
          <w:bCs/>
          <w:color w:val="000000"/>
          <w:sz w:val="22"/>
          <w:szCs w:val="22"/>
        </w:rPr>
        <w:t>Net sales</w:t>
      </w:r>
      <w:r w:rsidR="00712AAB">
        <w:rPr>
          <w:bCs/>
          <w:color w:val="000000"/>
          <w:sz w:val="22"/>
          <w:szCs w:val="22"/>
        </w:rPr>
        <w:t xml:space="preserve"> of equity funds increased from</w:t>
      </w:r>
      <w:r>
        <w:rPr>
          <w:bCs/>
          <w:color w:val="000000"/>
          <w:sz w:val="22"/>
          <w:szCs w:val="22"/>
        </w:rPr>
        <w:t xml:space="preserve"> EUR </w:t>
      </w:r>
      <w:r w:rsidR="000E6CAA">
        <w:rPr>
          <w:bCs/>
          <w:color w:val="000000"/>
          <w:sz w:val="22"/>
          <w:szCs w:val="22"/>
        </w:rPr>
        <w:t>8</w:t>
      </w:r>
      <w:r>
        <w:rPr>
          <w:bCs/>
          <w:color w:val="000000"/>
          <w:sz w:val="22"/>
          <w:szCs w:val="22"/>
        </w:rPr>
        <w:t xml:space="preserve"> billion in the </w:t>
      </w:r>
      <w:r w:rsidR="00DB7708">
        <w:rPr>
          <w:bCs/>
          <w:color w:val="000000"/>
          <w:sz w:val="22"/>
          <w:szCs w:val="22"/>
        </w:rPr>
        <w:t>second</w:t>
      </w:r>
      <w:r w:rsidR="000E6CAA">
        <w:rPr>
          <w:bCs/>
          <w:color w:val="000000"/>
          <w:sz w:val="22"/>
          <w:szCs w:val="22"/>
        </w:rPr>
        <w:t xml:space="preserve"> quarter to EUR 10</w:t>
      </w:r>
      <w:r>
        <w:rPr>
          <w:bCs/>
          <w:color w:val="000000"/>
          <w:sz w:val="22"/>
          <w:szCs w:val="22"/>
        </w:rPr>
        <w:t xml:space="preserve"> billion in the </w:t>
      </w:r>
      <w:r w:rsidR="00DB7708">
        <w:rPr>
          <w:bCs/>
          <w:color w:val="000000"/>
          <w:sz w:val="22"/>
          <w:szCs w:val="22"/>
        </w:rPr>
        <w:t>third</w:t>
      </w:r>
      <w:r w:rsidR="000573B0">
        <w:rPr>
          <w:bCs/>
          <w:color w:val="000000"/>
          <w:sz w:val="22"/>
          <w:szCs w:val="22"/>
        </w:rPr>
        <w:t xml:space="preserve"> quarter</w:t>
      </w:r>
      <w:r>
        <w:rPr>
          <w:bCs/>
          <w:color w:val="000000"/>
          <w:sz w:val="22"/>
          <w:szCs w:val="22"/>
        </w:rPr>
        <w:t xml:space="preserve">. Net sales of multi-asset funds </w:t>
      </w:r>
      <w:r w:rsidR="007C5245">
        <w:rPr>
          <w:bCs/>
          <w:color w:val="000000"/>
          <w:sz w:val="22"/>
          <w:szCs w:val="22"/>
        </w:rPr>
        <w:t>decreased from EUR 14</w:t>
      </w:r>
      <w:r>
        <w:rPr>
          <w:bCs/>
          <w:color w:val="000000"/>
          <w:sz w:val="22"/>
          <w:szCs w:val="22"/>
        </w:rPr>
        <w:t xml:space="preserve"> billion in </w:t>
      </w:r>
      <w:r w:rsidR="00DB7708">
        <w:rPr>
          <w:bCs/>
          <w:color w:val="000000"/>
          <w:sz w:val="22"/>
          <w:szCs w:val="22"/>
        </w:rPr>
        <w:t>Q2</w:t>
      </w:r>
      <w:r w:rsidR="000573B0">
        <w:rPr>
          <w:bCs/>
          <w:color w:val="000000"/>
          <w:sz w:val="22"/>
          <w:szCs w:val="22"/>
        </w:rPr>
        <w:t xml:space="preserve"> 2017</w:t>
      </w:r>
      <w:r w:rsidR="007C5245">
        <w:rPr>
          <w:bCs/>
          <w:color w:val="000000"/>
          <w:sz w:val="22"/>
          <w:szCs w:val="22"/>
        </w:rPr>
        <w:t xml:space="preserve"> to EUR 6</w:t>
      </w:r>
      <w:r>
        <w:rPr>
          <w:bCs/>
          <w:color w:val="000000"/>
          <w:sz w:val="22"/>
          <w:szCs w:val="22"/>
        </w:rPr>
        <w:t xml:space="preserve"> billion in </w:t>
      </w:r>
      <w:r w:rsidR="00DB7708">
        <w:rPr>
          <w:bCs/>
          <w:color w:val="000000"/>
          <w:sz w:val="22"/>
          <w:szCs w:val="22"/>
        </w:rPr>
        <w:t>Q3</w:t>
      </w:r>
      <w:r>
        <w:rPr>
          <w:bCs/>
          <w:color w:val="000000"/>
          <w:sz w:val="22"/>
          <w:szCs w:val="22"/>
        </w:rPr>
        <w:t xml:space="preserve"> 2017.</w:t>
      </w:r>
      <w:r w:rsidRPr="00A7353F">
        <w:rPr>
          <w:bCs/>
          <w:color w:val="000000"/>
          <w:sz w:val="22"/>
          <w:szCs w:val="22"/>
        </w:rPr>
        <w:t xml:space="preserve"> </w:t>
      </w:r>
      <w:r w:rsidR="00712AAB">
        <w:rPr>
          <w:bCs/>
          <w:color w:val="000000"/>
          <w:sz w:val="22"/>
          <w:szCs w:val="22"/>
        </w:rPr>
        <w:t>Net s</w:t>
      </w:r>
      <w:r>
        <w:rPr>
          <w:bCs/>
          <w:color w:val="000000"/>
          <w:sz w:val="22"/>
          <w:szCs w:val="22"/>
        </w:rPr>
        <w:t xml:space="preserve">ales of </w:t>
      </w:r>
      <w:r w:rsidR="00A31822">
        <w:rPr>
          <w:bCs/>
          <w:color w:val="000000"/>
          <w:sz w:val="22"/>
          <w:szCs w:val="22"/>
        </w:rPr>
        <w:t>b</w:t>
      </w:r>
      <w:r>
        <w:rPr>
          <w:bCs/>
          <w:color w:val="000000"/>
          <w:sz w:val="22"/>
          <w:szCs w:val="22"/>
        </w:rPr>
        <w:t>ond</w:t>
      </w:r>
      <w:r w:rsidRPr="00A7353F">
        <w:rPr>
          <w:bCs/>
          <w:color w:val="000000"/>
          <w:sz w:val="22"/>
          <w:szCs w:val="22"/>
        </w:rPr>
        <w:t xml:space="preserve"> funds </w:t>
      </w:r>
      <w:r w:rsidR="007C5245">
        <w:rPr>
          <w:bCs/>
          <w:color w:val="000000"/>
          <w:sz w:val="22"/>
          <w:szCs w:val="22"/>
        </w:rPr>
        <w:t>amounted to EUR 1</w:t>
      </w:r>
      <w:r w:rsidR="00712AAB">
        <w:rPr>
          <w:bCs/>
          <w:color w:val="000000"/>
          <w:sz w:val="22"/>
          <w:szCs w:val="22"/>
        </w:rPr>
        <w:t xml:space="preserve"> billion at the end of the quarter</w:t>
      </w:r>
      <w:r>
        <w:rPr>
          <w:bCs/>
          <w:color w:val="000000"/>
          <w:sz w:val="22"/>
          <w:szCs w:val="22"/>
        </w:rPr>
        <w:t xml:space="preserve">, </w:t>
      </w:r>
      <w:r w:rsidR="005948B1">
        <w:rPr>
          <w:bCs/>
          <w:color w:val="000000"/>
          <w:sz w:val="22"/>
          <w:szCs w:val="22"/>
        </w:rPr>
        <w:t xml:space="preserve">lower than </w:t>
      </w:r>
      <w:r w:rsidR="000D46CD">
        <w:rPr>
          <w:bCs/>
          <w:color w:val="000000"/>
          <w:sz w:val="22"/>
          <w:szCs w:val="22"/>
        </w:rPr>
        <w:t xml:space="preserve">in </w:t>
      </w:r>
      <w:r w:rsidR="005948B1">
        <w:rPr>
          <w:bCs/>
          <w:color w:val="000000"/>
          <w:sz w:val="22"/>
          <w:szCs w:val="22"/>
        </w:rPr>
        <w:t>th</w:t>
      </w:r>
      <w:r>
        <w:rPr>
          <w:bCs/>
          <w:color w:val="000000"/>
          <w:sz w:val="22"/>
          <w:szCs w:val="22"/>
        </w:rPr>
        <w:t>e previous quarter (EUR 1</w:t>
      </w:r>
      <w:r w:rsidR="007C5245">
        <w:rPr>
          <w:bCs/>
          <w:color w:val="000000"/>
          <w:sz w:val="22"/>
          <w:szCs w:val="22"/>
        </w:rPr>
        <w:t>1</w:t>
      </w:r>
      <w:r>
        <w:rPr>
          <w:bCs/>
          <w:color w:val="000000"/>
          <w:sz w:val="22"/>
          <w:szCs w:val="22"/>
        </w:rPr>
        <w:t xml:space="preserve"> billion). Net sales of other funds </w:t>
      </w:r>
      <w:r w:rsidR="007C5245">
        <w:rPr>
          <w:bCs/>
          <w:color w:val="000000"/>
          <w:sz w:val="22"/>
          <w:szCs w:val="22"/>
        </w:rPr>
        <w:t>decreased from EUR 39</w:t>
      </w:r>
      <w:r>
        <w:rPr>
          <w:bCs/>
          <w:color w:val="000000"/>
          <w:sz w:val="22"/>
          <w:szCs w:val="22"/>
        </w:rPr>
        <w:t xml:space="preserve"> billion in </w:t>
      </w:r>
      <w:r w:rsidR="00DB7708">
        <w:rPr>
          <w:bCs/>
          <w:color w:val="000000"/>
          <w:sz w:val="22"/>
          <w:szCs w:val="22"/>
        </w:rPr>
        <w:t>Q2</w:t>
      </w:r>
      <w:r w:rsidR="007C5245">
        <w:rPr>
          <w:bCs/>
          <w:color w:val="000000"/>
          <w:sz w:val="22"/>
          <w:szCs w:val="22"/>
        </w:rPr>
        <w:t xml:space="preserve"> 2017 to EUR 31</w:t>
      </w:r>
      <w:r>
        <w:rPr>
          <w:bCs/>
          <w:color w:val="000000"/>
          <w:sz w:val="22"/>
          <w:szCs w:val="22"/>
        </w:rPr>
        <w:t xml:space="preserve"> billion in </w:t>
      </w:r>
      <w:r w:rsidR="00DB7708">
        <w:rPr>
          <w:bCs/>
          <w:color w:val="000000"/>
          <w:sz w:val="22"/>
          <w:szCs w:val="22"/>
        </w:rPr>
        <w:t>Q3</w:t>
      </w:r>
      <w:r w:rsidR="000D46CD">
        <w:rPr>
          <w:bCs/>
          <w:color w:val="000000"/>
          <w:sz w:val="22"/>
          <w:szCs w:val="22"/>
        </w:rPr>
        <w:t xml:space="preserve"> 2017.</w:t>
      </w:r>
    </w:p>
    <w:p w:rsidR="001142A5" w:rsidRPr="00955553" w:rsidRDefault="004C7355" w:rsidP="001142A5">
      <w:pPr>
        <w:pStyle w:val="Footer"/>
        <w:tabs>
          <w:tab w:val="left" w:pos="720"/>
          <w:tab w:val="left" w:pos="4320"/>
        </w:tabs>
        <w:spacing w:line="260" w:lineRule="exact"/>
        <w:jc w:val="right"/>
        <w:rPr>
          <w:bCs/>
          <w:color w:val="000000"/>
          <w:sz w:val="22"/>
          <w:szCs w:val="22"/>
        </w:rPr>
      </w:pPr>
      <w:r w:rsidRPr="004C7355">
        <w:rPr>
          <w:b/>
          <w:bCs/>
          <w:iCs/>
          <w:noProof/>
          <w:sz w:val="28"/>
          <w:szCs w:val="28"/>
          <w:lang w:val="nl-BE" w:eastAsia="nl-BE"/>
          <w14:shadow w14:blurRad="50800" w14:dist="38100" w14:dir="2700000" w14:sx="100000" w14:sy="100000" w14:kx="0" w14:ky="0" w14:algn="tl">
            <w14:srgbClr w14:val="000000">
              <w14:alpha w14:val="60000"/>
            </w14:srgbClr>
          </w14:shadow>
        </w:rPr>
        <w:drawing>
          <wp:anchor distT="0" distB="0" distL="114300" distR="114300" simplePos="0" relativeHeight="251662336" behindDoc="0" locked="0" layoutInCell="1" allowOverlap="1">
            <wp:simplePos x="0" y="0"/>
            <wp:positionH relativeFrom="column">
              <wp:posOffset>-151130</wp:posOffset>
            </wp:positionH>
            <wp:positionV relativeFrom="paragraph">
              <wp:posOffset>210820</wp:posOffset>
            </wp:positionV>
            <wp:extent cx="3430905" cy="2087880"/>
            <wp:effectExtent l="0" t="0" r="0" b="0"/>
            <wp:wrapNone/>
            <wp:docPr id="2487" name="Picture 2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30905" cy="2087880"/>
                    </a:xfrm>
                    <a:prstGeom prst="rect">
                      <a:avLst/>
                    </a:prstGeom>
                    <a:noFill/>
                  </pic:spPr>
                </pic:pic>
              </a:graphicData>
            </a:graphic>
            <wp14:sizeRelH relativeFrom="page">
              <wp14:pctWidth>0</wp14:pctWidth>
            </wp14:sizeRelH>
            <wp14:sizeRelV relativeFrom="page">
              <wp14:pctHeight>0</wp14:pctHeight>
            </wp14:sizeRelV>
          </wp:anchor>
        </w:drawing>
      </w:r>
    </w:p>
    <w:p w:rsidR="001142A5" w:rsidRPr="004C7355" w:rsidRDefault="004C7355" w:rsidP="001142A5">
      <w:pPr>
        <w:pStyle w:val="Footer"/>
        <w:jc w:val="center"/>
        <w:rPr>
          <w:b/>
          <w:bCs/>
          <w:iCs/>
          <w:sz w:val="28"/>
          <w:szCs w:val="28"/>
          <w:lang w:val="en-US"/>
          <w14:shadow w14:blurRad="50800" w14:dist="38100" w14:dir="2700000" w14:sx="100000" w14:sy="100000" w14:kx="0" w14:ky="0" w14:algn="tl">
            <w14:srgbClr w14:val="000000">
              <w14:alpha w14:val="60000"/>
            </w14:srgbClr>
          </w14:shadow>
        </w:rPr>
      </w:pPr>
      <w:r w:rsidRPr="004C7355">
        <w:rPr>
          <w:b/>
          <w:bCs/>
          <w:iCs/>
          <w:noProof/>
          <w:sz w:val="28"/>
          <w:szCs w:val="28"/>
          <w:lang w:val="nl-BE" w:eastAsia="nl-BE"/>
          <w14:shadow w14:blurRad="50800" w14:dist="38100" w14:dir="2700000" w14:sx="100000" w14:sy="100000" w14:kx="0" w14:ky="0" w14:algn="tl">
            <w14:srgbClr w14:val="000000">
              <w14:alpha w14:val="60000"/>
            </w14:srgbClr>
          </w14:shadow>
        </w:rPr>
        <w:drawing>
          <wp:anchor distT="0" distB="0" distL="114300" distR="114300" simplePos="0" relativeHeight="251663360" behindDoc="0" locked="0" layoutInCell="1" allowOverlap="1">
            <wp:simplePos x="0" y="0"/>
            <wp:positionH relativeFrom="column">
              <wp:posOffset>3346450</wp:posOffset>
            </wp:positionH>
            <wp:positionV relativeFrom="paragraph">
              <wp:posOffset>45720</wp:posOffset>
            </wp:positionV>
            <wp:extent cx="3077845" cy="2087245"/>
            <wp:effectExtent l="0" t="0" r="0" b="8255"/>
            <wp:wrapNone/>
            <wp:docPr id="2488" name="Picture 2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77845" cy="2087245"/>
                    </a:xfrm>
                    <a:prstGeom prst="rect">
                      <a:avLst/>
                    </a:prstGeom>
                    <a:noFill/>
                  </pic:spPr>
                </pic:pic>
              </a:graphicData>
            </a:graphic>
            <wp14:sizeRelH relativeFrom="page">
              <wp14:pctWidth>0</wp14:pctWidth>
            </wp14:sizeRelH>
            <wp14:sizeRelV relativeFrom="page">
              <wp14:pctHeight>0</wp14:pctHeight>
            </wp14:sizeRelV>
          </wp:anchor>
        </w:drawing>
      </w:r>
    </w:p>
    <w:p w:rsidR="004C7355" w:rsidRPr="004C7355" w:rsidRDefault="004C7355" w:rsidP="004C7355">
      <w:pPr>
        <w:pStyle w:val="Footer"/>
        <w:jc w:val="center"/>
        <w:outlineLvl w:val="0"/>
        <w:rPr>
          <w:b/>
          <w:bCs/>
          <w:iCs/>
          <w:sz w:val="28"/>
        </w:rPr>
      </w:pPr>
      <w:r w:rsidRPr="004C7355">
        <w:rPr>
          <w:b/>
          <w:bCs/>
          <w:iCs/>
          <w:noProof/>
          <w:sz w:val="28"/>
          <w:szCs w:val="28"/>
          <w:lang w:val="nl-BE" w:eastAsia="nl-BE"/>
          <w14:shadow w14:blurRad="50800" w14:dist="38100" w14:dir="2700000" w14:sx="100000" w14:sy="100000" w14:kx="0" w14:ky="0" w14:algn="tl">
            <w14:srgbClr w14:val="000000">
              <w14:alpha w14:val="60000"/>
            </w14:srgbClr>
          </w14:shadow>
        </w:rPr>
        <w:drawing>
          <wp:anchor distT="0" distB="0" distL="114300" distR="114300" simplePos="0" relativeHeight="251667456" behindDoc="0" locked="0" layoutInCell="1" allowOverlap="1">
            <wp:simplePos x="0" y="0"/>
            <wp:positionH relativeFrom="column">
              <wp:posOffset>3327400</wp:posOffset>
            </wp:positionH>
            <wp:positionV relativeFrom="paragraph">
              <wp:posOffset>4555490</wp:posOffset>
            </wp:positionV>
            <wp:extent cx="3131820" cy="2123440"/>
            <wp:effectExtent l="0" t="0" r="0" b="0"/>
            <wp:wrapNone/>
            <wp:docPr id="2492" name="Picture 2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31820" cy="2123440"/>
                    </a:xfrm>
                    <a:prstGeom prst="rect">
                      <a:avLst/>
                    </a:prstGeom>
                    <a:noFill/>
                  </pic:spPr>
                </pic:pic>
              </a:graphicData>
            </a:graphic>
            <wp14:sizeRelH relativeFrom="page">
              <wp14:pctWidth>0</wp14:pctWidth>
            </wp14:sizeRelH>
            <wp14:sizeRelV relativeFrom="page">
              <wp14:pctHeight>0</wp14:pctHeight>
            </wp14:sizeRelV>
          </wp:anchor>
        </w:drawing>
      </w:r>
      <w:r w:rsidRPr="004C7355">
        <w:rPr>
          <w:b/>
          <w:bCs/>
          <w:iCs/>
          <w:noProof/>
          <w:sz w:val="28"/>
          <w:szCs w:val="28"/>
          <w:lang w:val="nl-BE" w:eastAsia="nl-BE"/>
          <w14:shadow w14:blurRad="50800" w14:dist="38100" w14:dir="2700000" w14:sx="100000" w14:sy="100000" w14:kx="0" w14:ky="0" w14:algn="tl">
            <w14:srgbClr w14:val="000000">
              <w14:alpha w14:val="60000"/>
            </w14:srgbClr>
          </w14:shadow>
        </w:rPr>
        <w:drawing>
          <wp:anchor distT="0" distB="0" distL="114300" distR="114300" simplePos="0" relativeHeight="251666432" behindDoc="0" locked="0" layoutInCell="1" allowOverlap="1">
            <wp:simplePos x="0" y="0"/>
            <wp:positionH relativeFrom="column">
              <wp:posOffset>-19685</wp:posOffset>
            </wp:positionH>
            <wp:positionV relativeFrom="paragraph">
              <wp:posOffset>4584065</wp:posOffset>
            </wp:positionV>
            <wp:extent cx="3077845" cy="2087245"/>
            <wp:effectExtent l="0" t="0" r="0" b="8255"/>
            <wp:wrapNone/>
            <wp:docPr id="2491" name="Picture 2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77845" cy="2087245"/>
                    </a:xfrm>
                    <a:prstGeom prst="rect">
                      <a:avLst/>
                    </a:prstGeom>
                    <a:noFill/>
                  </pic:spPr>
                </pic:pic>
              </a:graphicData>
            </a:graphic>
            <wp14:sizeRelH relativeFrom="page">
              <wp14:pctWidth>0</wp14:pctWidth>
            </wp14:sizeRelH>
            <wp14:sizeRelV relativeFrom="page">
              <wp14:pctHeight>0</wp14:pctHeight>
            </wp14:sizeRelV>
          </wp:anchor>
        </w:drawing>
      </w:r>
      <w:r w:rsidRPr="004C7355">
        <w:rPr>
          <w:b/>
          <w:bCs/>
          <w:iCs/>
          <w:noProof/>
          <w:sz w:val="28"/>
          <w:szCs w:val="28"/>
          <w:lang w:val="nl-BE" w:eastAsia="nl-BE"/>
          <w14:shadow w14:blurRad="50800" w14:dist="38100" w14:dir="2700000" w14:sx="100000" w14:sy="100000" w14:kx="0" w14:ky="0" w14:algn="tl">
            <w14:srgbClr w14:val="000000">
              <w14:alpha w14:val="60000"/>
            </w14:srgbClr>
          </w14:shadow>
        </w:rPr>
        <w:drawing>
          <wp:anchor distT="0" distB="0" distL="114300" distR="114300" simplePos="0" relativeHeight="251665408" behindDoc="0" locked="0" layoutInCell="1" allowOverlap="1">
            <wp:simplePos x="0" y="0"/>
            <wp:positionH relativeFrom="column">
              <wp:posOffset>3336925</wp:posOffset>
            </wp:positionH>
            <wp:positionV relativeFrom="paragraph">
              <wp:posOffset>2164080</wp:posOffset>
            </wp:positionV>
            <wp:extent cx="3131820" cy="2123440"/>
            <wp:effectExtent l="0" t="0" r="0" b="0"/>
            <wp:wrapNone/>
            <wp:docPr id="2490" name="Picture 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31820" cy="2123440"/>
                    </a:xfrm>
                    <a:prstGeom prst="rect">
                      <a:avLst/>
                    </a:prstGeom>
                    <a:noFill/>
                  </pic:spPr>
                </pic:pic>
              </a:graphicData>
            </a:graphic>
            <wp14:sizeRelH relativeFrom="page">
              <wp14:pctWidth>0</wp14:pctWidth>
            </wp14:sizeRelH>
            <wp14:sizeRelV relativeFrom="page">
              <wp14:pctHeight>0</wp14:pctHeight>
            </wp14:sizeRelV>
          </wp:anchor>
        </w:drawing>
      </w:r>
      <w:r w:rsidRPr="004C7355">
        <w:rPr>
          <w:b/>
          <w:bCs/>
          <w:iCs/>
          <w:noProof/>
          <w:sz w:val="28"/>
          <w:szCs w:val="28"/>
          <w:lang w:val="nl-BE" w:eastAsia="nl-BE"/>
          <w14:shadow w14:blurRad="50800" w14:dist="38100" w14:dir="2700000" w14:sx="100000" w14:sy="100000" w14:kx="0" w14:ky="0" w14:algn="tl">
            <w14:srgbClr w14:val="000000">
              <w14:alpha w14:val="60000"/>
            </w14:srgbClr>
          </w14:shadow>
        </w:rPr>
        <w:drawing>
          <wp:anchor distT="0" distB="0" distL="114300" distR="114300" simplePos="0" relativeHeight="251664384" behindDoc="0" locked="0" layoutInCell="1" allowOverlap="1">
            <wp:simplePos x="0" y="0"/>
            <wp:positionH relativeFrom="column">
              <wp:posOffset>-151130</wp:posOffset>
            </wp:positionH>
            <wp:positionV relativeFrom="paragraph">
              <wp:posOffset>2088515</wp:posOffset>
            </wp:positionV>
            <wp:extent cx="3275965" cy="2221230"/>
            <wp:effectExtent l="0" t="0" r="0" b="0"/>
            <wp:wrapNone/>
            <wp:docPr id="2489" name="Picture 2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75965" cy="2221230"/>
                    </a:xfrm>
                    <a:prstGeom prst="rect">
                      <a:avLst/>
                    </a:prstGeom>
                    <a:noFill/>
                  </pic:spPr>
                </pic:pic>
              </a:graphicData>
            </a:graphic>
            <wp14:sizeRelH relativeFrom="page">
              <wp14:pctWidth>0</wp14:pctWidth>
            </wp14:sizeRelH>
            <wp14:sizeRelV relativeFrom="page">
              <wp14:pctHeight>0</wp14:pctHeight>
            </wp14:sizeRelV>
          </wp:anchor>
        </w:drawing>
      </w:r>
      <w:r w:rsidR="001142A5" w:rsidRPr="004C7355">
        <w:rPr>
          <w:b/>
          <w:bCs/>
          <w:iCs/>
          <w:sz w:val="28"/>
          <w:szCs w:val="28"/>
          <w:lang w:val="en-US"/>
          <w14:shadow w14:blurRad="50800" w14:dist="38100" w14:dir="2700000" w14:sx="100000" w14:sy="100000" w14:kx="0" w14:ky="0" w14:algn="tl">
            <w14:srgbClr w14:val="000000">
              <w14:alpha w14:val="60000"/>
            </w14:srgbClr>
          </w14:shadow>
        </w:rPr>
        <w:br w:type="page"/>
      </w:r>
      <w:r w:rsidRPr="004C7355">
        <w:rPr>
          <w:b/>
          <w:bCs/>
          <w:iCs/>
          <w:sz w:val="28"/>
        </w:rPr>
        <w:lastRenderedPageBreak/>
        <w:t>Trends in the AIF Market</w:t>
      </w:r>
    </w:p>
    <w:p w:rsidR="004C7355" w:rsidRPr="004C7355" w:rsidRDefault="004C7355" w:rsidP="004C7355">
      <w:pPr>
        <w:widowControl w:val="0"/>
        <w:tabs>
          <w:tab w:val="left" w:pos="4185"/>
        </w:tabs>
        <w:spacing w:line="260" w:lineRule="exact"/>
        <w:jc w:val="center"/>
        <w:rPr>
          <w:i/>
          <w:iCs/>
          <w:sz w:val="22"/>
          <w:szCs w:val="22"/>
        </w:rPr>
      </w:pPr>
      <w:r w:rsidRPr="004C7355">
        <w:rPr>
          <w:b/>
          <w:bCs/>
          <w:i/>
          <w:iCs/>
          <w:sz w:val="28"/>
          <w:szCs w:val="28"/>
        </w:rPr>
        <w:t>Net Sales by Country of Domiciliation and Investment Type</w:t>
      </w:r>
    </w:p>
    <w:p w:rsidR="004C7355" w:rsidRPr="004C7355" w:rsidRDefault="004C7355" w:rsidP="004C7355">
      <w:pPr>
        <w:widowControl w:val="0"/>
        <w:tabs>
          <w:tab w:val="center" w:pos="4320"/>
          <w:tab w:val="right" w:pos="8640"/>
        </w:tabs>
        <w:jc w:val="center"/>
        <w:outlineLvl w:val="0"/>
        <w:rPr>
          <w:b/>
          <w:bCs/>
          <w:iCs/>
          <w:sz w:val="28"/>
          <w:szCs w:val="20"/>
        </w:rPr>
      </w:pPr>
    </w:p>
    <w:p w:rsidR="004C7355" w:rsidRPr="004C7355" w:rsidRDefault="00C04A3D" w:rsidP="004C7355">
      <w:pPr>
        <w:spacing w:line="260" w:lineRule="atLeast"/>
        <w:jc w:val="both"/>
        <w:rPr>
          <w:color w:val="000000"/>
          <w:sz w:val="22"/>
          <w:szCs w:val="22"/>
          <w:lang w:eastAsia="fr-FR"/>
        </w:rPr>
      </w:pPr>
      <w:r>
        <w:rPr>
          <w:b/>
          <w:color w:val="0000FF"/>
          <w:sz w:val="22"/>
          <w:szCs w:val="22"/>
          <w:lang w:eastAsia="fr-FR"/>
        </w:rPr>
        <w:t>Seven</w:t>
      </w:r>
      <w:r w:rsidR="004C7355" w:rsidRPr="004C7355">
        <w:rPr>
          <w:b/>
          <w:color w:val="0000FF"/>
          <w:sz w:val="22"/>
          <w:szCs w:val="22"/>
          <w:lang w:eastAsia="fr-FR"/>
        </w:rPr>
        <w:t>teen countries experienced net inflows into AIF in Q3 2017, with s</w:t>
      </w:r>
      <w:r w:rsidR="00F54C6D">
        <w:rPr>
          <w:b/>
          <w:color w:val="0000FF"/>
          <w:sz w:val="22"/>
          <w:szCs w:val="22"/>
          <w:lang w:eastAsia="fr-FR"/>
        </w:rPr>
        <w:t>even</w:t>
      </w:r>
      <w:r w:rsidR="00537E5C">
        <w:rPr>
          <w:b/>
          <w:color w:val="0000FF"/>
          <w:sz w:val="22"/>
          <w:szCs w:val="22"/>
          <w:lang w:eastAsia="fr-FR"/>
        </w:rPr>
        <w:t xml:space="preserve"> countries recording net sale</w:t>
      </w:r>
      <w:r w:rsidR="004C7355" w:rsidRPr="004C7355">
        <w:rPr>
          <w:b/>
          <w:color w:val="0000FF"/>
          <w:sz w:val="22"/>
          <w:szCs w:val="22"/>
          <w:lang w:eastAsia="fr-FR"/>
        </w:rPr>
        <w:t>s higher than EUR 1 billion.</w:t>
      </w:r>
      <w:r w:rsidR="004C7355" w:rsidRPr="004C7355">
        <w:rPr>
          <w:color w:val="000000"/>
          <w:sz w:val="22"/>
          <w:szCs w:val="22"/>
          <w:lang w:eastAsia="fr-FR"/>
        </w:rPr>
        <w:t xml:space="preserve"> </w:t>
      </w:r>
    </w:p>
    <w:p w:rsidR="004C7355" w:rsidRPr="004C7355" w:rsidRDefault="004C7355" w:rsidP="004C7355">
      <w:pPr>
        <w:spacing w:line="260" w:lineRule="atLeast"/>
        <w:jc w:val="both"/>
        <w:rPr>
          <w:color w:val="000000"/>
          <w:sz w:val="22"/>
          <w:szCs w:val="22"/>
          <w:lang w:eastAsia="fr-FR"/>
        </w:rPr>
      </w:pPr>
    </w:p>
    <w:p w:rsidR="004C7355" w:rsidRDefault="00537E5C" w:rsidP="004C7355">
      <w:pPr>
        <w:spacing w:line="260" w:lineRule="atLeast"/>
        <w:jc w:val="both"/>
        <w:rPr>
          <w:sz w:val="22"/>
          <w:szCs w:val="22"/>
          <w:lang w:eastAsia="fr-FR"/>
        </w:rPr>
      </w:pPr>
      <w:r>
        <w:rPr>
          <w:color w:val="000000"/>
          <w:sz w:val="22"/>
          <w:szCs w:val="22"/>
          <w:lang w:eastAsia="fr-FR"/>
        </w:rPr>
        <w:t>Net sale</w:t>
      </w:r>
      <w:r w:rsidR="004C7355" w:rsidRPr="004C7355">
        <w:rPr>
          <w:color w:val="000000"/>
          <w:sz w:val="22"/>
          <w:szCs w:val="22"/>
          <w:lang w:eastAsia="fr-FR"/>
        </w:rPr>
        <w:t>s above EUR 1 billion were registered in Germany (EUR 16.7 billion), the Netherlands (EUR 16.5 billion), Ireland (EUR 15.5 billi</w:t>
      </w:r>
      <w:r w:rsidR="00D04011">
        <w:rPr>
          <w:color w:val="000000"/>
          <w:sz w:val="22"/>
          <w:szCs w:val="22"/>
          <w:lang w:eastAsia="fr-FR"/>
        </w:rPr>
        <w:t>on), the United Kingdom (EUR 2.9</w:t>
      </w:r>
      <w:r w:rsidR="004C7355" w:rsidRPr="004C7355">
        <w:rPr>
          <w:color w:val="000000"/>
          <w:sz w:val="22"/>
          <w:szCs w:val="22"/>
          <w:lang w:eastAsia="fr-FR"/>
        </w:rPr>
        <w:t xml:space="preserve"> billion),</w:t>
      </w:r>
      <w:r w:rsidR="004C7355" w:rsidRPr="004C7355">
        <w:t xml:space="preserve"> </w:t>
      </w:r>
      <w:r w:rsidR="004C7355" w:rsidRPr="004C7355">
        <w:rPr>
          <w:color w:val="000000"/>
          <w:sz w:val="22"/>
          <w:szCs w:val="22"/>
          <w:lang w:eastAsia="fr-FR"/>
        </w:rPr>
        <w:t>Denmark (EUR 2.3 billion), Austria (1.8 billion) and</w:t>
      </w:r>
      <w:r w:rsidR="004C7355" w:rsidRPr="004C7355">
        <w:t xml:space="preserve"> </w:t>
      </w:r>
      <w:r w:rsidR="004C7355" w:rsidRPr="004C7355">
        <w:rPr>
          <w:color w:val="000000"/>
          <w:sz w:val="22"/>
          <w:szCs w:val="22"/>
          <w:lang w:eastAsia="fr-FR"/>
        </w:rPr>
        <w:t xml:space="preserve">Luxembourg (EUR 1.0 billion). </w:t>
      </w:r>
    </w:p>
    <w:p w:rsidR="000D46CD" w:rsidRPr="004C7355" w:rsidRDefault="000D46CD" w:rsidP="004C7355">
      <w:pPr>
        <w:spacing w:line="260" w:lineRule="atLeast"/>
        <w:jc w:val="both"/>
        <w:rPr>
          <w:sz w:val="22"/>
          <w:szCs w:val="22"/>
          <w:lang w:eastAsia="fr-FR"/>
        </w:rPr>
      </w:pPr>
    </w:p>
    <w:p w:rsidR="004C7355" w:rsidRPr="004C7355" w:rsidRDefault="004C7355" w:rsidP="004C7355">
      <w:pPr>
        <w:rPr>
          <w:color w:val="000000"/>
          <w:sz w:val="22"/>
          <w:szCs w:val="22"/>
          <w:lang w:eastAsia="fr-FR"/>
        </w:rPr>
      </w:pPr>
      <w:r w:rsidRPr="004C7355">
        <w:rPr>
          <w:color w:val="000000"/>
          <w:sz w:val="22"/>
          <w:szCs w:val="22"/>
          <w:lang w:eastAsia="fr-FR"/>
        </w:rPr>
        <w:t>All categories of</w:t>
      </w:r>
      <w:r w:rsidR="00537E5C">
        <w:rPr>
          <w:color w:val="000000"/>
          <w:sz w:val="22"/>
          <w:szCs w:val="22"/>
          <w:lang w:eastAsia="fr-FR"/>
        </w:rPr>
        <w:t xml:space="preserve"> AIF funds registered net inflow</w:t>
      </w:r>
      <w:r w:rsidRPr="004C7355">
        <w:rPr>
          <w:color w:val="000000"/>
          <w:sz w:val="22"/>
          <w:szCs w:val="22"/>
          <w:lang w:eastAsia="fr-FR"/>
        </w:rPr>
        <w:t>s during Q3 2017, with other funds experiencing large inflows</w:t>
      </w:r>
      <w:r w:rsidR="00537E5C">
        <w:rPr>
          <w:color w:val="000000"/>
          <w:sz w:val="22"/>
          <w:szCs w:val="22"/>
          <w:lang w:eastAsia="fr-FR"/>
        </w:rPr>
        <w:t xml:space="preserve"> in particular.</w:t>
      </w:r>
    </w:p>
    <w:p w:rsidR="004C7355" w:rsidRPr="004C7355" w:rsidRDefault="004C7355" w:rsidP="004C7355">
      <w:pPr>
        <w:widowControl w:val="0"/>
        <w:tabs>
          <w:tab w:val="center" w:pos="4320"/>
          <w:tab w:val="right" w:pos="8640"/>
        </w:tabs>
        <w:outlineLvl w:val="0"/>
        <w:rPr>
          <w:b/>
          <w:bCs/>
          <w:iCs/>
          <w:sz w:val="28"/>
          <w:szCs w:val="20"/>
        </w:rPr>
      </w:pPr>
    </w:p>
    <w:p w:rsidR="004C7355" w:rsidRPr="004C7355" w:rsidRDefault="00F7552D" w:rsidP="004C7355">
      <w:pPr>
        <w:widowControl w:val="0"/>
        <w:tabs>
          <w:tab w:val="center" w:pos="4320"/>
          <w:tab w:val="right" w:pos="8640"/>
        </w:tabs>
        <w:jc w:val="center"/>
        <w:outlineLvl w:val="0"/>
        <w:rPr>
          <w:sz w:val="20"/>
          <w:szCs w:val="20"/>
          <w:lang w:val="en-GB"/>
        </w:rPr>
      </w:pPr>
      <w:r w:rsidRPr="00F7552D">
        <w:rPr>
          <w:noProof/>
          <w:lang w:val="nl-BE" w:eastAsia="nl-BE"/>
        </w:rPr>
        <w:drawing>
          <wp:anchor distT="0" distB="0" distL="114300" distR="114300" simplePos="0" relativeHeight="251708416" behindDoc="0" locked="0" layoutInCell="1" allowOverlap="1">
            <wp:simplePos x="0" y="0"/>
            <wp:positionH relativeFrom="column">
              <wp:posOffset>336</wp:posOffset>
            </wp:positionH>
            <wp:positionV relativeFrom="paragraph">
              <wp:posOffset>53739</wp:posOffset>
            </wp:positionV>
            <wp:extent cx="6264000" cy="4813200"/>
            <wp:effectExtent l="0" t="0" r="381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64000" cy="481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7355" w:rsidRPr="004C7355" w:rsidRDefault="004C7355" w:rsidP="004C7355">
      <w:pPr>
        <w:widowControl w:val="0"/>
        <w:tabs>
          <w:tab w:val="center" w:pos="4320"/>
          <w:tab w:val="right" w:pos="8640"/>
        </w:tabs>
        <w:jc w:val="center"/>
        <w:outlineLvl w:val="0"/>
        <w:rPr>
          <w:sz w:val="20"/>
          <w:szCs w:val="20"/>
          <w:lang w:val="en-GB"/>
        </w:rPr>
      </w:pPr>
    </w:p>
    <w:p w:rsidR="004C7355" w:rsidRPr="004C7355" w:rsidRDefault="004C7355" w:rsidP="004C7355">
      <w:pPr>
        <w:widowControl w:val="0"/>
        <w:tabs>
          <w:tab w:val="center" w:pos="4320"/>
          <w:tab w:val="right" w:pos="8640"/>
        </w:tabs>
        <w:jc w:val="center"/>
        <w:outlineLvl w:val="0"/>
        <w:rPr>
          <w:b/>
          <w:bCs/>
          <w:iCs/>
          <w:sz w:val="28"/>
          <w:szCs w:val="20"/>
          <w:lang w:val="en-GB"/>
        </w:rPr>
      </w:pPr>
      <w:r w:rsidRPr="004C7355">
        <w:rPr>
          <w:sz w:val="20"/>
          <w:szCs w:val="20"/>
          <w:lang w:val="en-GB"/>
        </w:rPr>
        <w:br w:type="page"/>
      </w:r>
      <w:r w:rsidRPr="004C7355">
        <w:rPr>
          <w:b/>
          <w:bCs/>
          <w:iCs/>
          <w:sz w:val="28"/>
          <w:szCs w:val="20"/>
          <w:lang w:val="en-GB"/>
        </w:rPr>
        <w:lastRenderedPageBreak/>
        <w:t>Trends in the AIF Market</w:t>
      </w:r>
    </w:p>
    <w:p w:rsidR="004C7355" w:rsidRPr="004C7355" w:rsidRDefault="004C7355" w:rsidP="004C7355">
      <w:pPr>
        <w:widowControl w:val="0"/>
        <w:tabs>
          <w:tab w:val="left" w:pos="4185"/>
        </w:tabs>
        <w:spacing w:line="260" w:lineRule="exact"/>
        <w:jc w:val="center"/>
        <w:rPr>
          <w:i/>
          <w:iCs/>
          <w:sz w:val="22"/>
          <w:szCs w:val="22"/>
        </w:rPr>
      </w:pPr>
      <w:r w:rsidRPr="004C7355">
        <w:rPr>
          <w:b/>
          <w:bCs/>
          <w:i/>
          <w:iCs/>
          <w:sz w:val="28"/>
          <w:szCs w:val="28"/>
        </w:rPr>
        <w:t>Net Assets by Investment Type</w:t>
      </w:r>
    </w:p>
    <w:p w:rsidR="004C7355" w:rsidRPr="004C7355" w:rsidRDefault="004C7355" w:rsidP="004C7355">
      <w:pPr>
        <w:widowControl w:val="0"/>
        <w:tabs>
          <w:tab w:val="left" w:pos="720"/>
          <w:tab w:val="left" w:pos="4320"/>
          <w:tab w:val="right" w:pos="8640"/>
        </w:tabs>
        <w:spacing w:line="260" w:lineRule="exact"/>
        <w:jc w:val="both"/>
        <w:rPr>
          <w:color w:val="000000"/>
          <w:sz w:val="22"/>
          <w:szCs w:val="22"/>
        </w:rPr>
      </w:pPr>
    </w:p>
    <w:p w:rsidR="004C7355" w:rsidRDefault="004C7355" w:rsidP="00574EEF">
      <w:pPr>
        <w:widowControl w:val="0"/>
        <w:tabs>
          <w:tab w:val="left" w:pos="720"/>
          <w:tab w:val="left" w:pos="4320"/>
          <w:tab w:val="right" w:pos="8640"/>
        </w:tabs>
        <w:spacing w:line="276" w:lineRule="auto"/>
        <w:jc w:val="both"/>
        <w:rPr>
          <w:b/>
          <w:bCs/>
          <w:color w:val="0000FF"/>
          <w:sz w:val="22"/>
          <w:szCs w:val="22"/>
        </w:rPr>
      </w:pPr>
      <w:r w:rsidRPr="004C7355">
        <w:rPr>
          <w:b/>
          <w:bCs/>
          <w:color w:val="0000FF"/>
          <w:sz w:val="22"/>
          <w:szCs w:val="22"/>
        </w:rPr>
        <w:t>Net assets of AIF increased by 1.</w:t>
      </w:r>
      <w:r w:rsidR="00E04B90">
        <w:rPr>
          <w:b/>
          <w:bCs/>
          <w:color w:val="0000FF"/>
          <w:sz w:val="22"/>
          <w:szCs w:val="22"/>
        </w:rPr>
        <w:t>7</w:t>
      </w:r>
      <w:r w:rsidRPr="004C7355">
        <w:rPr>
          <w:b/>
          <w:bCs/>
          <w:color w:val="0000FF"/>
          <w:sz w:val="22"/>
          <w:szCs w:val="22"/>
        </w:rPr>
        <w:t>% in the third quarter to reach EUR 5,8</w:t>
      </w:r>
      <w:r w:rsidR="00E04B90">
        <w:rPr>
          <w:b/>
          <w:bCs/>
          <w:color w:val="0000FF"/>
          <w:sz w:val="22"/>
          <w:szCs w:val="22"/>
        </w:rPr>
        <w:t>47</w:t>
      </w:r>
      <w:r w:rsidRPr="004C7355">
        <w:rPr>
          <w:b/>
          <w:bCs/>
          <w:color w:val="0000FF"/>
          <w:sz w:val="22"/>
          <w:szCs w:val="22"/>
        </w:rPr>
        <w:t xml:space="preserve"> billion. </w:t>
      </w:r>
    </w:p>
    <w:p w:rsidR="00574EEF" w:rsidRPr="00574EEF" w:rsidRDefault="00574EEF" w:rsidP="00574EEF">
      <w:pPr>
        <w:widowControl w:val="0"/>
        <w:tabs>
          <w:tab w:val="left" w:pos="720"/>
          <w:tab w:val="left" w:pos="4320"/>
          <w:tab w:val="right" w:pos="8640"/>
        </w:tabs>
        <w:spacing w:line="260" w:lineRule="exact"/>
        <w:jc w:val="both"/>
        <w:rPr>
          <w:b/>
          <w:bCs/>
          <w:color w:val="0000FF"/>
          <w:sz w:val="22"/>
          <w:szCs w:val="22"/>
        </w:rPr>
      </w:pPr>
    </w:p>
    <w:p w:rsidR="004C7355" w:rsidRDefault="004C7355" w:rsidP="004C7355">
      <w:pPr>
        <w:widowControl w:val="0"/>
        <w:tabs>
          <w:tab w:val="left" w:pos="720"/>
          <w:tab w:val="left" w:pos="4320"/>
          <w:tab w:val="right" w:pos="8640"/>
        </w:tabs>
        <w:spacing w:line="260" w:lineRule="exact"/>
        <w:jc w:val="both"/>
        <w:rPr>
          <w:color w:val="000000"/>
          <w:sz w:val="22"/>
          <w:szCs w:val="22"/>
          <w:lang w:val="en-GB"/>
        </w:rPr>
      </w:pPr>
      <w:r w:rsidRPr="004C7355">
        <w:rPr>
          <w:color w:val="000000"/>
          <w:sz w:val="22"/>
          <w:szCs w:val="22"/>
          <w:lang w:val="en-GB"/>
        </w:rPr>
        <w:t>In Q3 2017, equity funds recorded the largest asset growth (3.6%), followed by other funds (2.4%), money market funds (1.6%)</w:t>
      </w:r>
      <w:r w:rsidR="00E04B90">
        <w:rPr>
          <w:color w:val="000000"/>
          <w:sz w:val="22"/>
          <w:szCs w:val="22"/>
          <w:lang w:val="en-GB"/>
        </w:rPr>
        <w:t>,</w:t>
      </w:r>
      <w:r w:rsidR="00E04B90" w:rsidRPr="00E04B90">
        <w:t xml:space="preserve"> real estate funds (1.5%)</w:t>
      </w:r>
      <w:r w:rsidR="00E04B90">
        <w:t xml:space="preserve"> and</w:t>
      </w:r>
      <w:r w:rsidR="00E04B90" w:rsidRPr="00E04B90">
        <w:t xml:space="preserve"> </w:t>
      </w:r>
      <w:r w:rsidR="00E04B90" w:rsidRPr="00E04B90">
        <w:rPr>
          <w:color w:val="000000"/>
          <w:sz w:val="22"/>
          <w:szCs w:val="22"/>
          <w:lang w:val="en-GB"/>
        </w:rPr>
        <w:t>multi-asset funds (1.</w:t>
      </w:r>
      <w:r w:rsidR="00E04B90">
        <w:rPr>
          <w:color w:val="000000"/>
          <w:sz w:val="22"/>
          <w:szCs w:val="22"/>
          <w:lang w:val="en-GB"/>
        </w:rPr>
        <w:t>3</w:t>
      </w:r>
      <w:r w:rsidR="00E04B90" w:rsidRPr="00E04B90">
        <w:rPr>
          <w:color w:val="000000"/>
          <w:sz w:val="22"/>
          <w:szCs w:val="22"/>
          <w:lang w:val="en-GB"/>
        </w:rPr>
        <w:t>%)</w:t>
      </w:r>
      <w:r w:rsidR="00E04B90">
        <w:rPr>
          <w:color w:val="000000"/>
          <w:sz w:val="22"/>
          <w:szCs w:val="22"/>
          <w:lang w:val="en-GB"/>
        </w:rPr>
        <w:t>.</w:t>
      </w:r>
      <w:r w:rsidRPr="004C7355">
        <w:rPr>
          <w:color w:val="000000"/>
          <w:sz w:val="22"/>
          <w:szCs w:val="22"/>
          <w:lang w:val="en-GB"/>
        </w:rPr>
        <w:t xml:space="preserve"> Net assets </w:t>
      </w:r>
      <w:r w:rsidR="00D04011">
        <w:rPr>
          <w:color w:val="000000"/>
          <w:sz w:val="22"/>
          <w:szCs w:val="22"/>
          <w:lang w:val="en-GB"/>
        </w:rPr>
        <w:t>of bond funds remained stable during Q3 2017 at EUR 1,0</w:t>
      </w:r>
      <w:r w:rsidR="007A71B9">
        <w:rPr>
          <w:color w:val="000000"/>
          <w:sz w:val="22"/>
          <w:szCs w:val="22"/>
          <w:lang w:val="en-GB"/>
        </w:rPr>
        <w:t>4</w:t>
      </w:r>
      <w:r w:rsidR="00D04011">
        <w:rPr>
          <w:color w:val="000000"/>
          <w:sz w:val="22"/>
          <w:szCs w:val="22"/>
          <w:lang w:val="en-GB"/>
        </w:rPr>
        <w:t xml:space="preserve">4 </w:t>
      </w:r>
      <w:r w:rsidR="000D46CD">
        <w:rPr>
          <w:color w:val="000000"/>
          <w:sz w:val="22"/>
          <w:szCs w:val="22"/>
          <w:lang w:val="en-GB"/>
        </w:rPr>
        <w:t>billion.</w:t>
      </w:r>
    </w:p>
    <w:p w:rsidR="000D46CD" w:rsidRPr="004C7355" w:rsidRDefault="000D46CD" w:rsidP="004C7355">
      <w:pPr>
        <w:widowControl w:val="0"/>
        <w:tabs>
          <w:tab w:val="left" w:pos="720"/>
          <w:tab w:val="left" w:pos="4320"/>
          <w:tab w:val="right" w:pos="8640"/>
        </w:tabs>
        <w:spacing w:line="260" w:lineRule="exact"/>
        <w:jc w:val="both"/>
        <w:rPr>
          <w:color w:val="000000"/>
          <w:sz w:val="22"/>
          <w:szCs w:val="22"/>
          <w:lang w:val="en-GB"/>
        </w:rPr>
      </w:pPr>
    </w:p>
    <w:p w:rsidR="004C7355" w:rsidRPr="004C7355" w:rsidRDefault="004C7355" w:rsidP="004C7355">
      <w:pPr>
        <w:widowControl w:val="0"/>
        <w:tabs>
          <w:tab w:val="left" w:pos="720"/>
          <w:tab w:val="left" w:pos="4320"/>
          <w:tab w:val="right" w:pos="8640"/>
        </w:tabs>
        <w:spacing w:line="260" w:lineRule="exact"/>
        <w:jc w:val="both"/>
        <w:rPr>
          <w:color w:val="000000"/>
          <w:sz w:val="22"/>
          <w:szCs w:val="22"/>
          <w:lang w:val="en-GB"/>
        </w:rPr>
      </w:pPr>
      <w:r w:rsidRPr="004C7355">
        <w:rPr>
          <w:color w:val="000000"/>
          <w:sz w:val="22"/>
          <w:szCs w:val="22"/>
          <w:lang w:val="en-GB"/>
        </w:rPr>
        <w:t xml:space="preserve">The net assets of exchange-traded </w:t>
      </w:r>
      <w:r w:rsidR="00E63D2C">
        <w:rPr>
          <w:color w:val="000000"/>
          <w:sz w:val="22"/>
          <w:szCs w:val="22"/>
          <w:lang w:val="en-GB"/>
        </w:rPr>
        <w:t xml:space="preserve">AIF </w:t>
      </w:r>
      <w:r w:rsidRPr="004C7355">
        <w:rPr>
          <w:color w:val="000000"/>
          <w:sz w:val="22"/>
          <w:szCs w:val="22"/>
          <w:lang w:val="en-GB"/>
        </w:rPr>
        <w:t>funds grew briskly during Q3 2017 (6.3%), however their share as a percentage</w:t>
      </w:r>
      <w:r w:rsidR="00D04011">
        <w:rPr>
          <w:color w:val="000000"/>
          <w:sz w:val="22"/>
          <w:szCs w:val="22"/>
          <w:lang w:val="en-GB"/>
        </w:rPr>
        <w:t xml:space="preserve"> of total AIF remains </w:t>
      </w:r>
      <w:r w:rsidR="0024427B">
        <w:rPr>
          <w:color w:val="000000"/>
          <w:sz w:val="22"/>
          <w:szCs w:val="22"/>
          <w:lang w:val="en-GB"/>
        </w:rPr>
        <w:t xml:space="preserve">very </w:t>
      </w:r>
      <w:r w:rsidR="00D04011">
        <w:rPr>
          <w:color w:val="000000"/>
          <w:sz w:val="22"/>
          <w:szCs w:val="22"/>
          <w:lang w:val="en-GB"/>
        </w:rPr>
        <w:t>small (</w:t>
      </w:r>
      <w:r w:rsidR="005F490B" w:rsidRPr="005F490B">
        <w:rPr>
          <w:color w:val="000000"/>
          <w:sz w:val="22"/>
          <w:szCs w:val="22"/>
          <w:lang w:val="en-GB"/>
        </w:rPr>
        <w:t>0.2%)</w:t>
      </w:r>
      <w:r w:rsidRPr="004C7355">
        <w:rPr>
          <w:color w:val="000000"/>
          <w:sz w:val="22"/>
          <w:szCs w:val="22"/>
          <w:lang w:val="en-GB"/>
        </w:rPr>
        <w:t>.</w:t>
      </w:r>
    </w:p>
    <w:p w:rsidR="004C7355" w:rsidRPr="004C7355" w:rsidRDefault="004C7355" w:rsidP="004C7355">
      <w:pPr>
        <w:widowControl w:val="0"/>
        <w:tabs>
          <w:tab w:val="left" w:pos="720"/>
          <w:tab w:val="left" w:pos="4320"/>
          <w:tab w:val="right" w:pos="8640"/>
        </w:tabs>
        <w:spacing w:line="260" w:lineRule="exact"/>
        <w:jc w:val="both"/>
        <w:rPr>
          <w:color w:val="000000"/>
          <w:sz w:val="22"/>
          <w:szCs w:val="22"/>
          <w:lang w:val="en-GB"/>
        </w:rPr>
      </w:pPr>
    </w:p>
    <w:p w:rsidR="004C7355" w:rsidRPr="004C7355" w:rsidRDefault="007A71B9" w:rsidP="004C7355">
      <w:pPr>
        <w:widowControl w:val="0"/>
        <w:tabs>
          <w:tab w:val="left" w:pos="720"/>
          <w:tab w:val="left" w:pos="4320"/>
          <w:tab w:val="right" w:pos="8640"/>
        </w:tabs>
        <w:spacing w:line="260" w:lineRule="exact"/>
        <w:jc w:val="both"/>
        <w:rPr>
          <w:color w:val="000000"/>
          <w:sz w:val="22"/>
          <w:szCs w:val="22"/>
        </w:rPr>
      </w:pPr>
      <w:r>
        <w:rPr>
          <w:color w:val="000000"/>
          <w:sz w:val="22"/>
          <w:szCs w:val="22"/>
        </w:rPr>
        <w:t xml:space="preserve">The number of AIF funds increased to </w:t>
      </w:r>
      <w:r w:rsidR="004C7355" w:rsidRPr="004C7355">
        <w:rPr>
          <w:color w:val="000000"/>
          <w:sz w:val="22"/>
          <w:szCs w:val="22"/>
        </w:rPr>
        <w:t>28,4</w:t>
      </w:r>
      <w:r w:rsidR="0024427B">
        <w:rPr>
          <w:color w:val="000000"/>
          <w:sz w:val="22"/>
          <w:szCs w:val="22"/>
        </w:rPr>
        <w:t>47</w:t>
      </w:r>
      <w:r w:rsidR="004C7355" w:rsidRPr="004C7355">
        <w:rPr>
          <w:color w:val="000000"/>
          <w:sz w:val="22"/>
          <w:szCs w:val="22"/>
        </w:rPr>
        <w:t xml:space="preserve"> </w:t>
      </w:r>
      <w:r>
        <w:rPr>
          <w:color w:val="000000"/>
          <w:sz w:val="22"/>
          <w:szCs w:val="22"/>
        </w:rPr>
        <w:t xml:space="preserve">at </w:t>
      </w:r>
      <w:r w:rsidR="00D04011">
        <w:rPr>
          <w:color w:val="000000"/>
          <w:sz w:val="22"/>
          <w:szCs w:val="22"/>
        </w:rPr>
        <w:t>end Q3 2017</w:t>
      </w:r>
      <w:r>
        <w:rPr>
          <w:color w:val="000000"/>
          <w:sz w:val="22"/>
          <w:szCs w:val="22"/>
        </w:rPr>
        <w:t xml:space="preserve">. </w:t>
      </w:r>
      <w:r w:rsidR="004C7355" w:rsidRPr="004C7355">
        <w:rPr>
          <w:color w:val="000000"/>
          <w:sz w:val="22"/>
          <w:szCs w:val="22"/>
        </w:rPr>
        <w:t xml:space="preserve"> </w:t>
      </w:r>
    </w:p>
    <w:p w:rsidR="004C7355" w:rsidRPr="004C7355" w:rsidRDefault="004C7355" w:rsidP="004C7355">
      <w:pPr>
        <w:widowControl w:val="0"/>
        <w:tabs>
          <w:tab w:val="left" w:pos="720"/>
          <w:tab w:val="left" w:pos="4320"/>
          <w:tab w:val="right" w:pos="8640"/>
        </w:tabs>
        <w:spacing w:line="260" w:lineRule="exact"/>
        <w:jc w:val="both"/>
        <w:rPr>
          <w:color w:val="000000"/>
          <w:sz w:val="22"/>
          <w:szCs w:val="22"/>
        </w:rPr>
      </w:pPr>
    </w:p>
    <w:p w:rsidR="004C7355" w:rsidRPr="004C7355" w:rsidRDefault="009873C1" w:rsidP="004C7355">
      <w:pPr>
        <w:widowControl w:val="0"/>
        <w:tabs>
          <w:tab w:val="center" w:pos="4320"/>
          <w:tab w:val="right" w:pos="8640"/>
        </w:tabs>
        <w:jc w:val="center"/>
        <w:outlineLvl w:val="0"/>
        <w:rPr>
          <w:b/>
          <w:bCs/>
          <w:iCs/>
          <w:sz w:val="28"/>
          <w:szCs w:val="20"/>
          <w:lang w:val="en-GB"/>
        </w:rPr>
      </w:pPr>
      <w:r w:rsidRPr="009873C1">
        <w:rPr>
          <w:noProof/>
          <w:lang w:val="nl-BE" w:eastAsia="nl-BE"/>
        </w:rPr>
        <w:drawing>
          <wp:anchor distT="0" distB="0" distL="114300" distR="114300" simplePos="0" relativeHeight="251714560" behindDoc="0" locked="0" layoutInCell="1" allowOverlap="1">
            <wp:simplePos x="0" y="0"/>
            <wp:positionH relativeFrom="column">
              <wp:posOffset>628087</wp:posOffset>
            </wp:positionH>
            <wp:positionV relativeFrom="paragraph">
              <wp:posOffset>79770</wp:posOffset>
            </wp:positionV>
            <wp:extent cx="5115600" cy="632520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15600" cy="632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7355" w:rsidRPr="004C7355" w:rsidRDefault="004C7355" w:rsidP="004C7355">
      <w:pPr>
        <w:rPr>
          <w:lang w:val="en-GB"/>
        </w:rPr>
      </w:pPr>
    </w:p>
    <w:p w:rsidR="004C7355" w:rsidRPr="004C7355" w:rsidRDefault="004C7355" w:rsidP="004C7355">
      <w:pPr>
        <w:widowControl w:val="0"/>
        <w:tabs>
          <w:tab w:val="center" w:pos="4320"/>
          <w:tab w:val="right" w:pos="8640"/>
        </w:tabs>
        <w:jc w:val="center"/>
        <w:outlineLvl w:val="0"/>
        <w:rPr>
          <w:sz w:val="20"/>
          <w:szCs w:val="20"/>
          <w:lang w:val="en-GB"/>
        </w:rPr>
      </w:pPr>
    </w:p>
    <w:p w:rsidR="004C7355" w:rsidRPr="004C7355" w:rsidRDefault="004C7355" w:rsidP="004C7355">
      <w:pPr>
        <w:widowControl w:val="0"/>
        <w:tabs>
          <w:tab w:val="left" w:pos="4215"/>
          <w:tab w:val="center" w:pos="4320"/>
          <w:tab w:val="right" w:pos="8640"/>
        </w:tabs>
        <w:outlineLvl w:val="0"/>
        <w:rPr>
          <w:sz w:val="20"/>
          <w:szCs w:val="20"/>
          <w:lang w:val="en-GB"/>
        </w:rPr>
      </w:pPr>
      <w:r w:rsidRPr="004C7355">
        <w:rPr>
          <w:sz w:val="20"/>
          <w:szCs w:val="20"/>
          <w:lang w:val="en-GB"/>
        </w:rPr>
        <w:tab/>
      </w:r>
      <w:r w:rsidRPr="004C7355">
        <w:rPr>
          <w:sz w:val="20"/>
          <w:szCs w:val="20"/>
          <w:lang w:val="en-GB"/>
        </w:rPr>
        <w:tab/>
      </w:r>
    </w:p>
    <w:p w:rsidR="004C7355" w:rsidRPr="004C7355" w:rsidRDefault="004C7355" w:rsidP="004C7355">
      <w:pPr>
        <w:widowControl w:val="0"/>
        <w:tabs>
          <w:tab w:val="center" w:pos="4320"/>
          <w:tab w:val="right" w:pos="8640"/>
        </w:tabs>
        <w:jc w:val="center"/>
        <w:outlineLvl w:val="0"/>
        <w:rPr>
          <w:b/>
          <w:bCs/>
          <w:iCs/>
          <w:sz w:val="28"/>
          <w:szCs w:val="20"/>
          <w:lang w:val="en-GB"/>
        </w:rPr>
      </w:pPr>
      <w:r w:rsidRPr="004C7355">
        <w:rPr>
          <w:sz w:val="20"/>
          <w:szCs w:val="20"/>
          <w:lang w:val="en-GB"/>
        </w:rPr>
        <w:br w:type="page"/>
      </w:r>
      <w:r w:rsidRPr="004C7355">
        <w:rPr>
          <w:b/>
          <w:bCs/>
          <w:iCs/>
          <w:sz w:val="28"/>
          <w:szCs w:val="20"/>
          <w:lang w:val="en-GB"/>
        </w:rPr>
        <w:lastRenderedPageBreak/>
        <w:t>Trends in the AIF Market</w:t>
      </w:r>
    </w:p>
    <w:p w:rsidR="004C7355" w:rsidRPr="004C7355" w:rsidRDefault="004C7355" w:rsidP="004C7355">
      <w:pPr>
        <w:widowControl w:val="0"/>
        <w:tabs>
          <w:tab w:val="left" w:pos="4185"/>
        </w:tabs>
        <w:spacing w:line="260" w:lineRule="exact"/>
        <w:jc w:val="center"/>
        <w:rPr>
          <w:i/>
          <w:iCs/>
          <w:sz w:val="22"/>
          <w:szCs w:val="22"/>
        </w:rPr>
      </w:pPr>
      <w:r w:rsidRPr="004C7355">
        <w:rPr>
          <w:b/>
          <w:bCs/>
          <w:i/>
          <w:iCs/>
          <w:sz w:val="28"/>
          <w:szCs w:val="28"/>
        </w:rPr>
        <w:t>Net Sales and Assets of Institutional AIF</w:t>
      </w:r>
    </w:p>
    <w:p w:rsidR="004C7355" w:rsidRPr="004C7355" w:rsidRDefault="004C7355" w:rsidP="004C7355">
      <w:pPr>
        <w:widowControl w:val="0"/>
        <w:tabs>
          <w:tab w:val="left" w:pos="720"/>
          <w:tab w:val="left" w:pos="4320"/>
          <w:tab w:val="right" w:pos="8640"/>
        </w:tabs>
        <w:spacing w:line="260" w:lineRule="exact"/>
        <w:jc w:val="both"/>
        <w:rPr>
          <w:color w:val="000000"/>
          <w:sz w:val="22"/>
          <w:szCs w:val="22"/>
        </w:rPr>
      </w:pPr>
    </w:p>
    <w:p w:rsidR="004C7355" w:rsidRPr="004C7355" w:rsidRDefault="004C7355" w:rsidP="004C7355">
      <w:pPr>
        <w:widowControl w:val="0"/>
        <w:tabs>
          <w:tab w:val="left" w:pos="720"/>
          <w:tab w:val="left" w:pos="4320"/>
          <w:tab w:val="right" w:pos="8640"/>
        </w:tabs>
        <w:spacing w:line="260" w:lineRule="exact"/>
        <w:jc w:val="both"/>
        <w:rPr>
          <w:b/>
          <w:bCs/>
          <w:color w:val="0000FF"/>
          <w:sz w:val="22"/>
          <w:szCs w:val="22"/>
        </w:rPr>
      </w:pPr>
      <w:r w:rsidRPr="004C7355">
        <w:rPr>
          <w:b/>
          <w:bCs/>
          <w:color w:val="0000FF"/>
          <w:sz w:val="22"/>
          <w:szCs w:val="22"/>
        </w:rPr>
        <w:t>Net assets of institutional AIF, which are AIF reserved for instit</w:t>
      </w:r>
      <w:r w:rsidR="006B5B06">
        <w:rPr>
          <w:b/>
          <w:bCs/>
          <w:color w:val="0000FF"/>
          <w:sz w:val="22"/>
          <w:szCs w:val="22"/>
        </w:rPr>
        <w:t>utional investors, increased 2.1% to EUR 2,808</w:t>
      </w:r>
      <w:r w:rsidRPr="004C7355">
        <w:rPr>
          <w:b/>
          <w:bCs/>
          <w:color w:val="0000FF"/>
          <w:sz w:val="22"/>
          <w:szCs w:val="22"/>
        </w:rPr>
        <w:t xml:space="preserve"> billion at end Q3 2017. </w:t>
      </w:r>
    </w:p>
    <w:p w:rsidR="004C7355" w:rsidRPr="004C7355" w:rsidRDefault="004C7355" w:rsidP="004C7355">
      <w:pPr>
        <w:widowControl w:val="0"/>
        <w:tabs>
          <w:tab w:val="left" w:pos="720"/>
          <w:tab w:val="left" w:pos="4320"/>
          <w:tab w:val="right" w:pos="8640"/>
        </w:tabs>
        <w:spacing w:line="260" w:lineRule="exact"/>
        <w:jc w:val="both"/>
        <w:rPr>
          <w:b/>
          <w:bCs/>
          <w:color w:val="0000FF"/>
          <w:sz w:val="22"/>
          <w:szCs w:val="22"/>
        </w:rPr>
      </w:pPr>
    </w:p>
    <w:p w:rsidR="004C7355" w:rsidRPr="004C7355" w:rsidRDefault="004C7355" w:rsidP="004C7355">
      <w:pPr>
        <w:widowControl w:val="0"/>
        <w:tabs>
          <w:tab w:val="left" w:pos="720"/>
          <w:tab w:val="left" w:pos="4320"/>
          <w:tab w:val="right" w:pos="8640"/>
        </w:tabs>
        <w:spacing w:line="260" w:lineRule="exact"/>
        <w:jc w:val="both"/>
        <w:rPr>
          <w:bCs/>
          <w:color w:val="000000"/>
          <w:sz w:val="22"/>
          <w:szCs w:val="22"/>
        </w:rPr>
      </w:pPr>
      <w:r w:rsidRPr="004C7355">
        <w:rPr>
          <w:color w:val="000000"/>
          <w:sz w:val="22"/>
          <w:szCs w:val="22"/>
          <w:lang w:val="en-GB"/>
        </w:rPr>
        <w:t>Net</w:t>
      </w:r>
      <w:r w:rsidRPr="004C7355">
        <w:rPr>
          <w:bCs/>
          <w:color w:val="000000"/>
          <w:sz w:val="22"/>
          <w:szCs w:val="22"/>
        </w:rPr>
        <w:t xml:space="preserve"> assets of institutiona</w:t>
      </w:r>
      <w:r w:rsidR="0044132F">
        <w:rPr>
          <w:bCs/>
          <w:color w:val="000000"/>
          <w:sz w:val="22"/>
          <w:szCs w:val="22"/>
        </w:rPr>
        <w:t>l funds recorded large increases in m</w:t>
      </w:r>
      <w:r w:rsidRPr="004C7355">
        <w:rPr>
          <w:bCs/>
          <w:color w:val="000000"/>
          <w:sz w:val="22"/>
          <w:szCs w:val="22"/>
        </w:rPr>
        <w:t>oney market funds (6.2%) and other funds (4.6%)</w:t>
      </w:r>
      <w:r w:rsidR="00F51682">
        <w:rPr>
          <w:bCs/>
          <w:color w:val="000000"/>
          <w:sz w:val="22"/>
          <w:szCs w:val="22"/>
        </w:rPr>
        <w:t>,</w:t>
      </w:r>
      <w:r w:rsidRPr="004C7355">
        <w:rPr>
          <w:bCs/>
          <w:color w:val="000000"/>
          <w:sz w:val="22"/>
          <w:szCs w:val="22"/>
        </w:rPr>
        <w:t xml:space="preserve"> to end the quarter at EUR 10 billion and EUR 323 billio</w:t>
      </w:r>
      <w:r w:rsidR="0044132F">
        <w:rPr>
          <w:bCs/>
          <w:color w:val="000000"/>
          <w:sz w:val="22"/>
          <w:szCs w:val="22"/>
        </w:rPr>
        <w:t>n, respectively. R</w:t>
      </w:r>
      <w:r w:rsidRPr="004C7355">
        <w:rPr>
          <w:bCs/>
          <w:color w:val="000000"/>
          <w:sz w:val="22"/>
          <w:szCs w:val="22"/>
        </w:rPr>
        <w:t xml:space="preserve">eal estate funds increased 2.8% to finish the quarter at EUR 179 billion and institutional equity funds increased by 2.7% to </w:t>
      </w:r>
      <w:r w:rsidR="0044132F">
        <w:rPr>
          <w:bCs/>
          <w:color w:val="000000"/>
          <w:sz w:val="22"/>
          <w:szCs w:val="22"/>
        </w:rPr>
        <w:t>EUR 230 billion. M</w:t>
      </w:r>
      <w:r w:rsidRPr="004C7355">
        <w:rPr>
          <w:bCs/>
          <w:color w:val="000000"/>
          <w:sz w:val="22"/>
          <w:szCs w:val="22"/>
        </w:rPr>
        <w:t>ulti-asset funds experienced net asset growth of 1.7% to reach EUR 1,015 billi</w:t>
      </w:r>
      <w:r w:rsidR="0044132F">
        <w:rPr>
          <w:bCs/>
          <w:color w:val="000000"/>
          <w:sz w:val="22"/>
          <w:szCs w:val="22"/>
        </w:rPr>
        <w:t xml:space="preserve">on. Net assets of </w:t>
      </w:r>
      <w:r w:rsidRPr="004C7355">
        <w:rPr>
          <w:bCs/>
          <w:color w:val="000000"/>
          <w:sz w:val="22"/>
          <w:szCs w:val="22"/>
        </w:rPr>
        <w:t xml:space="preserve">bond funds remained more or less stable at EUR 573 billion. </w:t>
      </w:r>
    </w:p>
    <w:p w:rsidR="004C7355" w:rsidRPr="004C7355" w:rsidRDefault="004C7355" w:rsidP="004C7355">
      <w:pPr>
        <w:widowControl w:val="0"/>
        <w:tabs>
          <w:tab w:val="left" w:pos="720"/>
          <w:tab w:val="left" w:pos="4320"/>
          <w:tab w:val="right" w:pos="8640"/>
        </w:tabs>
        <w:spacing w:line="260" w:lineRule="exact"/>
        <w:jc w:val="both"/>
        <w:rPr>
          <w:bCs/>
          <w:color w:val="000000"/>
          <w:sz w:val="22"/>
          <w:szCs w:val="22"/>
          <w:lang w:val="en-GB"/>
        </w:rPr>
      </w:pPr>
    </w:p>
    <w:p w:rsidR="004C7355" w:rsidRPr="004C7355" w:rsidRDefault="004C7355" w:rsidP="004C7355">
      <w:pPr>
        <w:widowControl w:val="0"/>
        <w:tabs>
          <w:tab w:val="left" w:pos="720"/>
          <w:tab w:val="left" w:pos="4320"/>
          <w:tab w:val="right" w:pos="8640"/>
        </w:tabs>
        <w:spacing w:line="260" w:lineRule="exact"/>
        <w:jc w:val="both"/>
        <w:rPr>
          <w:color w:val="000000"/>
          <w:sz w:val="22"/>
          <w:szCs w:val="22"/>
        </w:rPr>
      </w:pPr>
      <w:r w:rsidRPr="004C7355">
        <w:rPr>
          <w:color w:val="000000"/>
          <w:sz w:val="22"/>
          <w:szCs w:val="22"/>
        </w:rPr>
        <w:t>Institutional AIF recorded net sales of EUR 38.6 billion in Q3 2017, lower than</w:t>
      </w:r>
      <w:r w:rsidR="0044132F">
        <w:rPr>
          <w:color w:val="000000"/>
          <w:sz w:val="22"/>
          <w:szCs w:val="22"/>
        </w:rPr>
        <w:t xml:space="preserve"> in Q2 2017 (EUR 46.0 b</w:t>
      </w:r>
      <w:r w:rsidRPr="004C7355">
        <w:rPr>
          <w:color w:val="000000"/>
          <w:sz w:val="22"/>
          <w:szCs w:val="22"/>
        </w:rPr>
        <w:t>n) b</w:t>
      </w:r>
      <w:r w:rsidR="006B5B06">
        <w:rPr>
          <w:color w:val="000000"/>
          <w:sz w:val="22"/>
          <w:szCs w:val="22"/>
        </w:rPr>
        <w:t xml:space="preserve">ut higher than </w:t>
      </w:r>
      <w:r w:rsidR="0044132F">
        <w:rPr>
          <w:color w:val="000000"/>
          <w:sz w:val="22"/>
          <w:szCs w:val="22"/>
        </w:rPr>
        <w:t xml:space="preserve">in </w:t>
      </w:r>
      <w:r w:rsidR="006B5B06">
        <w:rPr>
          <w:color w:val="000000"/>
          <w:sz w:val="22"/>
          <w:szCs w:val="22"/>
        </w:rPr>
        <w:t xml:space="preserve">Q1 </w:t>
      </w:r>
      <w:r w:rsidR="00D04011">
        <w:rPr>
          <w:color w:val="000000"/>
          <w:sz w:val="22"/>
          <w:szCs w:val="22"/>
        </w:rPr>
        <w:t>2017 (EUR 38.8</w:t>
      </w:r>
      <w:r w:rsidR="0044132F">
        <w:rPr>
          <w:color w:val="000000"/>
          <w:sz w:val="22"/>
          <w:szCs w:val="22"/>
        </w:rPr>
        <w:t xml:space="preserve"> b</w:t>
      </w:r>
      <w:r w:rsidRPr="004C7355">
        <w:rPr>
          <w:color w:val="000000"/>
          <w:sz w:val="22"/>
          <w:szCs w:val="22"/>
        </w:rPr>
        <w:t>n).</w:t>
      </w:r>
    </w:p>
    <w:p w:rsidR="004C7355" w:rsidRPr="004C7355" w:rsidRDefault="004C7355" w:rsidP="004C7355">
      <w:pPr>
        <w:widowControl w:val="0"/>
        <w:tabs>
          <w:tab w:val="center" w:pos="4320"/>
          <w:tab w:val="right" w:pos="8640"/>
        </w:tabs>
        <w:jc w:val="center"/>
        <w:rPr>
          <w:sz w:val="20"/>
          <w:szCs w:val="20"/>
        </w:rPr>
      </w:pPr>
    </w:p>
    <w:p w:rsidR="004C7355" w:rsidRPr="004C7355" w:rsidRDefault="00A62EA1" w:rsidP="004C7355">
      <w:pPr>
        <w:widowControl w:val="0"/>
        <w:tabs>
          <w:tab w:val="center" w:pos="4320"/>
          <w:tab w:val="right" w:pos="8640"/>
        </w:tabs>
        <w:jc w:val="center"/>
        <w:rPr>
          <w:sz w:val="20"/>
          <w:szCs w:val="20"/>
          <w:lang w:val="en-GB"/>
        </w:rPr>
      </w:pPr>
      <w:r w:rsidRPr="00A62EA1">
        <w:rPr>
          <w:noProof/>
          <w:lang w:val="nl-BE" w:eastAsia="nl-BE"/>
        </w:rPr>
        <w:drawing>
          <wp:anchor distT="0" distB="0" distL="114300" distR="114300" simplePos="0" relativeHeight="251709440" behindDoc="0" locked="0" layoutInCell="1" allowOverlap="1">
            <wp:simplePos x="0" y="0"/>
            <wp:positionH relativeFrom="column">
              <wp:posOffset>382654</wp:posOffset>
            </wp:positionH>
            <wp:positionV relativeFrom="paragraph">
              <wp:posOffset>99429</wp:posOffset>
            </wp:positionV>
            <wp:extent cx="5428800" cy="5839200"/>
            <wp:effectExtent l="0" t="0" r="635"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28800" cy="583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7355" w:rsidRPr="004C7355" w:rsidRDefault="004C7355" w:rsidP="004C7355">
      <w:pPr>
        <w:widowControl w:val="0"/>
        <w:tabs>
          <w:tab w:val="center" w:pos="4320"/>
          <w:tab w:val="right" w:pos="8640"/>
        </w:tabs>
        <w:jc w:val="center"/>
        <w:rPr>
          <w:sz w:val="20"/>
          <w:szCs w:val="20"/>
          <w:lang w:val="en-GB"/>
        </w:rPr>
      </w:pPr>
    </w:p>
    <w:p w:rsidR="004C7355" w:rsidRPr="004C7355" w:rsidRDefault="004C7355" w:rsidP="004C7355">
      <w:pPr>
        <w:widowControl w:val="0"/>
        <w:tabs>
          <w:tab w:val="center" w:pos="4320"/>
          <w:tab w:val="right" w:pos="8640"/>
        </w:tabs>
        <w:jc w:val="center"/>
        <w:rPr>
          <w:sz w:val="20"/>
          <w:szCs w:val="20"/>
          <w:lang w:val="en-GB"/>
        </w:rPr>
      </w:pPr>
    </w:p>
    <w:p w:rsidR="004C7355" w:rsidRPr="004C7355" w:rsidRDefault="004C7355" w:rsidP="004C7355">
      <w:pPr>
        <w:widowControl w:val="0"/>
        <w:tabs>
          <w:tab w:val="center" w:pos="4320"/>
          <w:tab w:val="right" w:pos="8640"/>
        </w:tabs>
        <w:jc w:val="center"/>
        <w:outlineLvl w:val="0"/>
        <w:rPr>
          <w:b/>
          <w:bCs/>
          <w:sz w:val="28"/>
          <w:szCs w:val="28"/>
        </w:rPr>
      </w:pPr>
    </w:p>
    <w:p w:rsidR="004C7355" w:rsidRPr="004C7355" w:rsidRDefault="004C7355" w:rsidP="004C7355">
      <w:pPr>
        <w:widowControl w:val="0"/>
        <w:tabs>
          <w:tab w:val="center" w:pos="4320"/>
          <w:tab w:val="right" w:pos="8640"/>
        </w:tabs>
        <w:jc w:val="center"/>
        <w:outlineLvl w:val="0"/>
        <w:rPr>
          <w:b/>
          <w:bCs/>
          <w:sz w:val="28"/>
          <w:szCs w:val="28"/>
        </w:rPr>
      </w:pPr>
    </w:p>
    <w:p w:rsidR="004C7355" w:rsidRPr="004C7355" w:rsidRDefault="004C7355" w:rsidP="004C7355">
      <w:pPr>
        <w:widowControl w:val="0"/>
        <w:tabs>
          <w:tab w:val="center" w:pos="4320"/>
          <w:tab w:val="right" w:pos="8640"/>
        </w:tabs>
        <w:jc w:val="center"/>
        <w:outlineLvl w:val="0"/>
        <w:rPr>
          <w:b/>
          <w:bCs/>
          <w:i/>
          <w:iCs/>
          <w:sz w:val="28"/>
          <w:szCs w:val="28"/>
        </w:rPr>
      </w:pPr>
      <w:r w:rsidRPr="004C7355">
        <w:rPr>
          <w:b/>
          <w:bCs/>
          <w:sz w:val="28"/>
          <w:szCs w:val="28"/>
        </w:rPr>
        <w:br w:type="page"/>
      </w:r>
      <w:r w:rsidRPr="004C7355">
        <w:rPr>
          <w:b/>
          <w:bCs/>
          <w:sz w:val="28"/>
          <w:szCs w:val="28"/>
        </w:rPr>
        <w:lastRenderedPageBreak/>
        <w:t>Trends in the AIF Market</w:t>
      </w:r>
    </w:p>
    <w:p w:rsidR="004C7355" w:rsidRPr="004C7355" w:rsidRDefault="004C7355" w:rsidP="004C7355">
      <w:pPr>
        <w:widowControl w:val="0"/>
        <w:tabs>
          <w:tab w:val="center" w:pos="4320"/>
          <w:tab w:val="right" w:pos="8640"/>
        </w:tabs>
        <w:jc w:val="center"/>
        <w:rPr>
          <w:b/>
          <w:bCs/>
          <w:i/>
          <w:iCs/>
          <w:sz w:val="28"/>
          <w:szCs w:val="28"/>
        </w:rPr>
      </w:pPr>
      <w:r w:rsidRPr="004C7355">
        <w:rPr>
          <w:b/>
          <w:bCs/>
          <w:i/>
          <w:iCs/>
          <w:sz w:val="28"/>
          <w:szCs w:val="28"/>
        </w:rPr>
        <w:t>Net Assets by Country of Domiciliation</w:t>
      </w:r>
    </w:p>
    <w:p w:rsidR="004C7355" w:rsidRPr="004C7355" w:rsidRDefault="004C7355" w:rsidP="004C7355">
      <w:pPr>
        <w:jc w:val="both"/>
        <w:rPr>
          <w:bCs/>
          <w:color w:val="000000"/>
          <w:sz w:val="22"/>
          <w:szCs w:val="22"/>
        </w:rPr>
      </w:pPr>
    </w:p>
    <w:p w:rsidR="004C7355" w:rsidRPr="004C7355" w:rsidRDefault="006E684B" w:rsidP="004C7355">
      <w:pPr>
        <w:widowControl w:val="0"/>
        <w:tabs>
          <w:tab w:val="left" w:pos="720"/>
          <w:tab w:val="left" w:pos="4320"/>
          <w:tab w:val="right" w:pos="8640"/>
        </w:tabs>
        <w:spacing w:line="260" w:lineRule="exact"/>
        <w:jc w:val="both"/>
        <w:rPr>
          <w:b/>
          <w:bCs/>
          <w:color w:val="0000FF"/>
          <w:sz w:val="22"/>
          <w:szCs w:val="22"/>
        </w:rPr>
      </w:pPr>
      <w:r>
        <w:rPr>
          <w:b/>
          <w:bCs/>
          <w:color w:val="0000FF"/>
          <w:sz w:val="22"/>
          <w:szCs w:val="22"/>
        </w:rPr>
        <w:t>N</w:t>
      </w:r>
      <w:r w:rsidR="004C7355" w:rsidRPr="004C7355">
        <w:rPr>
          <w:b/>
          <w:bCs/>
          <w:color w:val="0000FF"/>
          <w:sz w:val="22"/>
          <w:szCs w:val="22"/>
        </w:rPr>
        <w:t>et assets of AIF increased 1.</w:t>
      </w:r>
      <w:r w:rsidR="00917E8A">
        <w:rPr>
          <w:b/>
          <w:bCs/>
          <w:color w:val="0000FF"/>
          <w:sz w:val="22"/>
          <w:szCs w:val="22"/>
        </w:rPr>
        <w:t>7</w:t>
      </w:r>
      <w:r w:rsidR="004C7355" w:rsidRPr="004C7355">
        <w:rPr>
          <w:b/>
          <w:bCs/>
          <w:color w:val="0000FF"/>
          <w:sz w:val="22"/>
          <w:szCs w:val="22"/>
        </w:rPr>
        <w:t xml:space="preserve">% compared to </w:t>
      </w:r>
      <w:r>
        <w:rPr>
          <w:b/>
          <w:bCs/>
          <w:color w:val="0000FF"/>
          <w:sz w:val="22"/>
          <w:szCs w:val="22"/>
        </w:rPr>
        <w:t>the previous quarter</w:t>
      </w:r>
      <w:r w:rsidR="004C7355" w:rsidRPr="004C7355">
        <w:rPr>
          <w:b/>
          <w:bCs/>
          <w:color w:val="0000FF"/>
          <w:sz w:val="22"/>
          <w:szCs w:val="22"/>
        </w:rPr>
        <w:t xml:space="preserve"> and 6.3% compared to end 2016.</w:t>
      </w:r>
    </w:p>
    <w:p w:rsidR="0044132F" w:rsidRDefault="0044132F" w:rsidP="004C7355">
      <w:pPr>
        <w:jc w:val="both"/>
        <w:rPr>
          <w:b/>
          <w:bCs/>
          <w:color w:val="0000FF"/>
          <w:sz w:val="22"/>
          <w:szCs w:val="22"/>
        </w:rPr>
      </w:pPr>
    </w:p>
    <w:p w:rsidR="004C7355" w:rsidRPr="004C7355" w:rsidRDefault="0044132F" w:rsidP="004C7355">
      <w:pPr>
        <w:jc w:val="both"/>
        <w:rPr>
          <w:bCs/>
          <w:color w:val="000000"/>
          <w:sz w:val="22"/>
          <w:szCs w:val="22"/>
        </w:rPr>
      </w:pPr>
      <w:r w:rsidRPr="0044132F">
        <w:rPr>
          <w:bCs/>
          <w:color w:val="000000"/>
          <w:sz w:val="22"/>
          <w:szCs w:val="22"/>
        </w:rPr>
        <w:t>In the</w:t>
      </w:r>
      <w:r w:rsidR="004C7355" w:rsidRPr="004C7355">
        <w:rPr>
          <w:bCs/>
          <w:color w:val="000000"/>
          <w:sz w:val="22"/>
          <w:szCs w:val="22"/>
        </w:rPr>
        <w:t xml:space="preserve"> largest AIF domiciles, the largest net asset growth in Q3 2017 was seen in the United Kingdom (2.8%), followed by the Netherlands (2.7%), Ireland (2.6%), Germany (2.1%), France (1.2%) and Luxembourg (0.1%). Elsewhere in Europe, net assets grew strongly in Croatia (10.3%), the Czech Republic (7.0%) and Belgium (5.2%).</w:t>
      </w:r>
    </w:p>
    <w:p w:rsidR="004C7355" w:rsidRPr="004C7355" w:rsidRDefault="004C7355" w:rsidP="004C7355">
      <w:pPr>
        <w:jc w:val="both"/>
        <w:rPr>
          <w:bCs/>
          <w:color w:val="000000"/>
          <w:sz w:val="22"/>
          <w:szCs w:val="22"/>
        </w:rPr>
      </w:pPr>
    </w:p>
    <w:p w:rsidR="004C7355" w:rsidRPr="004C7355" w:rsidRDefault="00A62EA1" w:rsidP="004C7355">
      <w:pPr>
        <w:widowControl w:val="0"/>
        <w:tabs>
          <w:tab w:val="center" w:pos="4320"/>
          <w:tab w:val="right" w:pos="8640"/>
        </w:tabs>
        <w:jc w:val="center"/>
        <w:outlineLvl w:val="0"/>
        <w:rPr>
          <w:b/>
          <w:bCs/>
          <w:sz w:val="28"/>
          <w:szCs w:val="28"/>
        </w:rPr>
      </w:pPr>
      <w:r w:rsidRPr="00A62EA1">
        <w:rPr>
          <w:noProof/>
          <w:lang w:val="nl-BE" w:eastAsia="nl-BE"/>
        </w:rPr>
        <w:drawing>
          <wp:anchor distT="0" distB="0" distL="114300" distR="114300" simplePos="0" relativeHeight="251710464" behindDoc="0" locked="0" layoutInCell="1" allowOverlap="1">
            <wp:simplePos x="0" y="0"/>
            <wp:positionH relativeFrom="column">
              <wp:posOffset>552672</wp:posOffset>
            </wp:positionH>
            <wp:positionV relativeFrom="paragraph">
              <wp:posOffset>164391</wp:posOffset>
            </wp:positionV>
            <wp:extent cx="5320800" cy="6012000"/>
            <wp:effectExtent l="0" t="0" r="0" b="825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20800" cy="601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7355" w:rsidRPr="004C7355" w:rsidRDefault="004C7355" w:rsidP="004C7355">
      <w:pPr>
        <w:widowControl w:val="0"/>
        <w:tabs>
          <w:tab w:val="center" w:pos="4320"/>
          <w:tab w:val="right" w:pos="8640"/>
        </w:tabs>
        <w:jc w:val="center"/>
        <w:outlineLvl w:val="0"/>
        <w:rPr>
          <w:b/>
          <w:bCs/>
          <w:sz w:val="28"/>
          <w:szCs w:val="28"/>
        </w:rPr>
      </w:pPr>
    </w:p>
    <w:p w:rsidR="004C7355" w:rsidRPr="004C7355" w:rsidRDefault="004C7355" w:rsidP="004C7355">
      <w:pPr>
        <w:widowControl w:val="0"/>
        <w:tabs>
          <w:tab w:val="center" w:pos="4320"/>
          <w:tab w:val="right" w:pos="8640"/>
        </w:tabs>
        <w:jc w:val="center"/>
        <w:outlineLvl w:val="0"/>
        <w:rPr>
          <w:b/>
          <w:bCs/>
          <w:sz w:val="28"/>
          <w:szCs w:val="28"/>
        </w:rPr>
      </w:pPr>
    </w:p>
    <w:p w:rsidR="004C7355" w:rsidRPr="004C7355" w:rsidRDefault="004C7355" w:rsidP="004C7355">
      <w:pPr>
        <w:widowControl w:val="0"/>
        <w:tabs>
          <w:tab w:val="center" w:pos="4320"/>
          <w:tab w:val="right" w:pos="8640"/>
        </w:tabs>
        <w:jc w:val="center"/>
        <w:outlineLvl w:val="0"/>
        <w:rPr>
          <w:b/>
          <w:bCs/>
          <w:sz w:val="28"/>
          <w:szCs w:val="28"/>
        </w:rPr>
      </w:pPr>
    </w:p>
    <w:p w:rsidR="004C7355" w:rsidRPr="004C7355" w:rsidRDefault="004C7355" w:rsidP="004C7355">
      <w:pPr>
        <w:widowControl w:val="0"/>
        <w:tabs>
          <w:tab w:val="center" w:pos="4320"/>
          <w:tab w:val="right" w:pos="8640"/>
        </w:tabs>
        <w:jc w:val="center"/>
        <w:outlineLvl w:val="0"/>
        <w:rPr>
          <w:b/>
          <w:bCs/>
          <w:sz w:val="28"/>
          <w:szCs w:val="28"/>
        </w:rPr>
      </w:pPr>
    </w:p>
    <w:p w:rsidR="004C7355" w:rsidRPr="004C7355" w:rsidRDefault="004C7355" w:rsidP="004C7355">
      <w:pPr>
        <w:widowControl w:val="0"/>
        <w:tabs>
          <w:tab w:val="center" w:pos="4320"/>
          <w:tab w:val="right" w:pos="8640"/>
        </w:tabs>
        <w:jc w:val="center"/>
        <w:outlineLvl w:val="0"/>
        <w:rPr>
          <w:b/>
          <w:bCs/>
          <w:sz w:val="28"/>
          <w:szCs w:val="28"/>
        </w:rPr>
      </w:pPr>
      <w:r w:rsidRPr="004C7355">
        <w:rPr>
          <w:b/>
          <w:bCs/>
          <w:sz w:val="28"/>
          <w:szCs w:val="28"/>
        </w:rPr>
        <w:br w:type="page"/>
      </w:r>
      <w:r w:rsidRPr="004C7355">
        <w:rPr>
          <w:b/>
          <w:bCs/>
          <w:sz w:val="28"/>
          <w:szCs w:val="28"/>
        </w:rPr>
        <w:lastRenderedPageBreak/>
        <w:t>Trends in the European Investment Fund Industry</w:t>
      </w:r>
    </w:p>
    <w:p w:rsidR="004C7355" w:rsidRPr="004C7355" w:rsidRDefault="004C7355" w:rsidP="004C7355">
      <w:pPr>
        <w:widowControl w:val="0"/>
        <w:tabs>
          <w:tab w:val="center" w:pos="4320"/>
          <w:tab w:val="right" w:pos="8640"/>
        </w:tabs>
        <w:jc w:val="center"/>
        <w:outlineLvl w:val="0"/>
        <w:rPr>
          <w:b/>
          <w:bCs/>
          <w:i/>
          <w:iCs/>
          <w:sz w:val="28"/>
          <w:szCs w:val="28"/>
        </w:rPr>
      </w:pPr>
      <w:r w:rsidRPr="004C7355">
        <w:rPr>
          <w:b/>
          <w:bCs/>
          <w:i/>
          <w:iCs/>
          <w:sz w:val="28"/>
          <w:szCs w:val="28"/>
        </w:rPr>
        <w:t>Net Sales by Investment Type</w:t>
      </w:r>
    </w:p>
    <w:p w:rsidR="004C7355" w:rsidRPr="004C7355" w:rsidRDefault="004C7355" w:rsidP="004C7355">
      <w:pPr>
        <w:widowControl w:val="0"/>
        <w:tabs>
          <w:tab w:val="left" w:pos="720"/>
          <w:tab w:val="left" w:pos="4320"/>
          <w:tab w:val="right" w:pos="8640"/>
        </w:tabs>
        <w:spacing w:line="260" w:lineRule="exact"/>
        <w:jc w:val="both"/>
        <w:rPr>
          <w:sz w:val="22"/>
          <w:szCs w:val="22"/>
        </w:rPr>
      </w:pPr>
    </w:p>
    <w:p w:rsidR="004C7355" w:rsidRPr="004C7355" w:rsidRDefault="00D04011" w:rsidP="004C7355">
      <w:pPr>
        <w:widowControl w:val="0"/>
        <w:tabs>
          <w:tab w:val="left" w:pos="720"/>
          <w:tab w:val="left" w:pos="4320"/>
          <w:tab w:val="right" w:pos="8640"/>
        </w:tabs>
        <w:spacing w:line="260" w:lineRule="exact"/>
        <w:jc w:val="both"/>
        <w:rPr>
          <w:b/>
          <w:color w:val="0000FF"/>
          <w:sz w:val="22"/>
          <w:szCs w:val="22"/>
          <w:lang w:val="en-GB"/>
        </w:rPr>
      </w:pPr>
      <w:r>
        <w:rPr>
          <w:b/>
          <w:color w:val="0000FF"/>
          <w:sz w:val="22"/>
          <w:szCs w:val="22"/>
          <w:lang w:val="en-GB"/>
        </w:rPr>
        <w:t xml:space="preserve">The combined net sales of the investment industry market in Europe, i.e. the market for UCITS and AIF, recorded net sales </w:t>
      </w:r>
      <w:r w:rsidR="004C7355" w:rsidRPr="004C7355">
        <w:rPr>
          <w:b/>
          <w:bCs/>
          <w:color w:val="0000FF"/>
          <w:sz w:val="22"/>
          <w:szCs w:val="22"/>
        </w:rPr>
        <w:t>of EUR 246 billion during Q3 2017, compared to EUR 249 billion in Q2</w:t>
      </w:r>
      <w:r w:rsidR="0082262E">
        <w:rPr>
          <w:b/>
          <w:bCs/>
          <w:color w:val="0000FF"/>
          <w:sz w:val="22"/>
          <w:szCs w:val="22"/>
        </w:rPr>
        <w:t xml:space="preserve"> 2017</w:t>
      </w:r>
      <w:r w:rsidR="004C7355" w:rsidRPr="004C7355">
        <w:rPr>
          <w:b/>
          <w:bCs/>
          <w:color w:val="0000FF"/>
          <w:sz w:val="22"/>
          <w:szCs w:val="22"/>
        </w:rPr>
        <w:t xml:space="preserve">. </w:t>
      </w:r>
      <w:r w:rsidR="006E684B">
        <w:rPr>
          <w:b/>
          <w:color w:val="0000FF"/>
          <w:sz w:val="22"/>
          <w:szCs w:val="22"/>
          <w:lang w:val="en-GB"/>
        </w:rPr>
        <w:t>From January until September 2017</w:t>
      </w:r>
      <w:r w:rsidR="004C7355" w:rsidRPr="004C7355">
        <w:rPr>
          <w:b/>
          <w:color w:val="0000FF"/>
          <w:sz w:val="22"/>
          <w:szCs w:val="22"/>
          <w:lang w:val="en-GB"/>
        </w:rPr>
        <w:t>, European investment funds have attracted net sales of EUR 761 billion</w:t>
      </w:r>
      <w:r>
        <w:rPr>
          <w:b/>
          <w:color w:val="0000FF"/>
          <w:sz w:val="22"/>
          <w:szCs w:val="22"/>
          <w:lang w:val="en-GB"/>
        </w:rPr>
        <w:t xml:space="preserve">, setting 2017 on course to outperform </w:t>
      </w:r>
      <w:r w:rsidR="004C7355" w:rsidRPr="004C7355">
        <w:rPr>
          <w:b/>
          <w:color w:val="0000FF"/>
          <w:sz w:val="22"/>
          <w:szCs w:val="22"/>
          <w:lang w:val="en-GB"/>
        </w:rPr>
        <w:t>the p</w:t>
      </w:r>
      <w:r w:rsidR="00F51682">
        <w:rPr>
          <w:b/>
          <w:color w:val="0000FF"/>
          <w:sz w:val="22"/>
          <w:szCs w:val="22"/>
          <w:lang w:val="en-GB"/>
        </w:rPr>
        <w:t xml:space="preserve">revious record-breaking </w:t>
      </w:r>
      <w:r w:rsidR="0082262E">
        <w:rPr>
          <w:b/>
          <w:color w:val="0000FF"/>
          <w:sz w:val="22"/>
          <w:szCs w:val="22"/>
          <w:lang w:val="en-GB"/>
        </w:rPr>
        <w:t>year of</w:t>
      </w:r>
      <w:r w:rsidR="004C7355" w:rsidRPr="004C7355">
        <w:rPr>
          <w:b/>
          <w:color w:val="0000FF"/>
          <w:sz w:val="22"/>
          <w:szCs w:val="22"/>
          <w:lang w:val="en-GB"/>
        </w:rPr>
        <w:t xml:space="preserve"> 2015 (EUR 763 billion).</w:t>
      </w:r>
    </w:p>
    <w:p w:rsidR="004C7355" w:rsidRPr="004C7355" w:rsidRDefault="004C7355" w:rsidP="004C7355">
      <w:pPr>
        <w:widowControl w:val="0"/>
        <w:tabs>
          <w:tab w:val="left" w:pos="720"/>
          <w:tab w:val="left" w:pos="4320"/>
          <w:tab w:val="right" w:pos="8640"/>
        </w:tabs>
        <w:spacing w:line="260" w:lineRule="exact"/>
        <w:jc w:val="both"/>
        <w:rPr>
          <w:b/>
          <w:bCs/>
          <w:color w:val="0000FF"/>
          <w:sz w:val="22"/>
          <w:szCs w:val="22"/>
          <w:lang w:val="en-GB"/>
        </w:rPr>
      </w:pPr>
      <w:bookmarkStart w:id="1" w:name="_GoBack"/>
      <w:bookmarkEnd w:id="1"/>
    </w:p>
    <w:p w:rsidR="004C7355" w:rsidRPr="004C7355" w:rsidRDefault="004C7355" w:rsidP="004C7355">
      <w:pPr>
        <w:widowControl w:val="0"/>
        <w:tabs>
          <w:tab w:val="left" w:pos="720"/>
          <w:tab w:val="left" w:pos="4320"/>
          <w:tab w:val="right" w:pos="8640"/>
        </w:tabs>
        <w:spacing w:line="260" w:lineRule="exact"/>
        <w:jc w:val="both"/>
        <w:rPr>
          <w:bCs/>
          <w:color w:val="000000"/>
          <w:sz w:val="22"/>
          <w:szCs w:val="22"/>
          <w:lang w:val="en-GB"/>
        </w:rPr>
      </w:pPr>
      <w:r w:rsidRPr="004C7355">
        <w:rPr>
          <w:bCs/>
          <w:color w:val="000000"/>
          <w:sz w:val="22"/>
          <w:szCs w:val="22"/>
          <w:lang w:val="en-GB"/>
        </w:rPr>
        <w:t>Net sales of equity funds increased to EUR 48 billion in Q3 2017</w:t>
      </w:r>
      <w:r w:rsidR="00D04011">
        <w:rPr>
          <w:bCs/>
          <w:color w:val="000000"/>
          <w:sz w:val="22"/>
          <w:szCs w:val="22"/>
          <w:lang w:val="en-GB"/>
        </w:rPr>
        <w:t>,</w:t>
      </w:r>
      <w:r w:rsidRPr="004C7355">
        <w:rPr>
          <w:bCs/>
          <w:color w:val="000000"/>
          <w:sz w:val="22"/>
          <w:szCs w:val="22"/>
          <w:lang w:val="en-GB"/>
        </w:rPr>
        <w:t xml:space="preserve"> compared to EUR 44 billion in the previous quarter. Net sales of bond funds decreased from EUR 104 billion in Q2 to EUR 74 billion in Q3 2017. Net sales of multi-asset funds totalled EUR 49 billion in Q3 2017, down from EUR 68 billion in the previous quarter. Money market funds experienced net inflows amounting to EUR 35 billion, compared to net outflows of EUR 18 billion in the second quarter of 2017. Net sales of other funds (including real estate, guaranteed/protected funds and other funds which do not fit any of the categories below or for which information is not available) totalled EUR 40 billion, lower than EUR 52 billion during the previous quarter.</w:t>
      </w:r>
    </w:p>
    <w:p w:rsidR="004C7355" w:rsidRPr="004C7355" w:rsidRDefault="004C7355" w:rsidP="004C7355">
      <w:pPr>
        <w:widowControl w:val="0"/>
        <w:tabs>
          <w:tab w:val="left" w:pos="720"/>
          <w:tab w:val="left" w:pos="4320"/>
          <w:tab w:val="right" w:pos="8640"/>
        </w:tabs>
        <w:spacing w:line="260" w:lineRule="exact"/>
        <w:jc w:val="both"/>
        <w:rPr>
          <w:bCs/>
          <w:color w:val="000000"/>
          <w:sz w:val="22"/>
          <w:szCs w:val="22"/>
          <w:lang w:val="en-GB"/>
        </w:rPr>
      </w:pPr>
      <w:r>
        <w:rPr>
          <w:noProof/>
          <w:lang w:val="nl-BE" w:eastAsia="nl-BE"/>
        </w:rPr>
        <w:drawing>
          <wp:anchor distT="0" distB="0" distL="114300" distR="114300" simplePos="0" relativeHeight="251675648" behindDoc="0" locked="0" layoutInCell="1" allowOverlap="1">
            <wp:simplePos x="0" y="0"/>
            <wp:positionH relativeFrom="column">
              <wp:posOffset>3289935</wp:posOffset>
            </wp:positionH>
            <wp:positionV relativeFrom="paragraph">
              <wp:posOffset>138760</wp:posOffset>
            </wp:positionV>
            <wp:extent cx="3218180" cy="2181860"/>
            <wp:effectExtent l="0" t="0" r="0" b="0"/>
            <wp:wrapNone/>
            <wp:docPr id="25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218180" cy="2181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355" w:rsidRPr="004C7355" w:rsidRDefault="004C7355" w:rsidP="004C7355">
      <w:pPr>
        <w:widowControl w:val="0"/>
        <w:tabs>
          <w:tab w:val="left" w:pos="720"/>
          <w:tab w:val="left" w:pos="4320"/>
          <w:tab w:val="right" w:pos="8640"/>
        </w:tabs>
        <w:spacing w:line="260" w:lineRule="exact"/>
        <w:jc w:val="both"/>
        <w:rPr>
          <w:bCs/>
          <w:color w:val="000000"/>
          <w:sz w:val="22"/>
          <w:szCs w:val="22"/>
          <w:lang w:val="en-GB"/>
        </w:rPr>
      </w:pPr>
      <w:r>
        <w:rPr>
          <w:noProof/>
          <w:lang w:val="nl-BE" w:eastAsia="nl-BE"/>
        </w:rPr>
        <w:drawing>
          <wp:anchor distT="0" distB="0" distL="114300" distR="114300" simplePos="0" relativeHeight="251674624" behindDoc="0" locked="0" layoutInCell="1" allowOverlap="1">
            <wp:simplePos x="0" y="0"/>
            <wp:positionH relativeFrom="column">
              <wp:posOffset>-121920</wp:posOffset>
            </wp:positionH>
            <wp:positionV relativeFrom="paragraph">
              <wp:posOffset>57150</wp:posOffset>
            </wp:positionV>
            <wp:extent cx="3430905" cy="2087880"/>
            <wp:effectExtent l="0" t="0" r="0" b="0"/>
            <wp:wrapNone/>
            <wp:docPr id="250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30905" cy="2087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355" w:rsidRPr="004C7355" w:rsidRDefault="0044132F" w:rsidP="004C7355">
      <w:pPr>
        <w:widowControl w:val="0"/>
        <w:tabs>
          <w:tab w:val="center" w:pos="4320"/>
          <w:tab w:val="right" w:pos="8640"/>
        </w:tabs>
        <w:jc w:val="center"/>
        <w:rPr>
          <w:sz w:val="20"/>
          <w:szCs w:val="20"/>
          <w:lang w:val="en-GB"/>
        </w:rPr>
      </w:pPr>
      <w:r>
        <w:rPr>
          <w:noProof/>
          <w:lang w:val="nl-BE" w:eastAsia="nl-BE"/>
        </w:rPr>
        <w:drawing>
          <wp:anchor distT="0" distB="0" distL="114300" distR="114300" simplePos="0" relativeHeight="251687936" behindDoc="0" locked="0" layoutInCell="1" allowOverlap="1" wp14:anchorId="5A79C91E">
            <wp:simplePos x="0" y="0"/>
            <wp:positionH relativeFrom="column">
              <wp:posOffset>3353945</wp:posOffset>
            </wp:positionH>
            <wp:positionV relativeFrom="page">
              <wp:posOffset>7862189</wp:posOffset>
            </wp:positionV>
            <wp:extent cx="3150000" cy="21348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50000" cy="2134800"/>
                    </a:xfrm>
                    <a:prstGeom prst="rect">
                      <a:avLst/>
                    </a:prstGeom>
                    <a:noFill/>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686912" behindDoc="0" locked="0" layoutInCell="1" allowOverlap="1" wp14:anchorId="05C29289">
            <wp:simplePos x="0" y="0"/>
            <wp:positionH relativeFrom="column">
              <wp:posOffset>-166806</wp:posOffset>
            </wp:positionH>
            <wp:positionV relativeFrom="page">
              <wp:posOffset>7824800</wp:posOffset>
            </wp:positionV>
            <wp:extent cx="3272400" cy="2217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272400" cy="2217600"/>
                    </a:xfrm>
                    <a:prstGeom prst="rect">
                      <a:avLst/>
                    </a:prstGeom>
                    <a:noFill/>
                  </pic:spPr>
                </pic:pic>
              </a:graphicData>
            </a:graphic>
            <wp14:sizeRelH relativeFrom="page">
              <wp14:pctWidth>0</wp14:pctWidth>
            </wp14:sizeRelH>
            <wp14:sizeRelV relativeFrom="page">
              <wp14:pctHeight>0</wp14:pctHeight>
            </wp14:sizeRelV>
          </wp:anchor>
        </w:drawing>
      </w:r>
      <w:r>
        <w:rPr>
          <w:noProof/>
          <w:lang w:val="nl-BE" w:eastAsia="nl-BE"/>
        </w:rPr>
        <w:drawing>
          <wp:anchor distT="0" distB="0" distL="114300" distR="114300" simplePos="0" relativeHeight="251685888" behindDoc="0" locked="0" layoutInCell="1" allowOverlap="1" wp14:anchorId="23EE5628">
            <wp:simplePos x="0" y="0"/>
            <wp:positionH relativeFrom="column">
              <wp:posOffset>3335325</wp:posOffset>
            </wp:positionH>
            <wp:positionV relativeFrom="page">
              <wp:posOffset>5557901</wp:posOffset>
            </wp:positionV>
            <wp:extent cx="3168000" cy="214920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168000" cy="2149200"/>
                    </a:xfrm>
                    <a:prstGeom prst="rect">
                      <a:avLst/>
                    </a:prstGeom>
                    <a:noFill/>
                  </pic:spPr>
                </pic:pic>
              </a:graphicData>
            </a:graphic>
            <wp14:sizeRelH relativeFrom="page">
              <wp14:pctWidth>0</wp14:pctWidth>
            </wp14:sizeRelH>
            <wp14:sizeRelV relativeFrom="page">
              <wp14:pctHeight>0</wp14:pctHeight>
            </wp14:sizeRelV>
          </wp:anchor>
        </w:drawing>
      </w:r>
      <w:r w:rsidR="004C7355">
        <w:rPr>
          <w:noProof/>
          <w:lang w:val="nl-BE" w:eastAsia="nl-BE"/>
        </w:rPr>
        <w:drawing>
          <wp:anchor distT="0" distB="0" distL="114300" distR="114300" simplePos="0" relativeHeight="251676672" behindDoc="0" locked="0" layoutInCell="1" allowOverlap="1">
            <wp:simplePos x="0" y="0"/>
            <wp:positionH relativeFrom="column">
              <wp:posOffset>-74295</wp:posOffset>
            </wp:positionH>
            <wp:positionV relativeFrom="paragraph">
              <wp:posOffset>2089150</wp:posOffset>
            </wp:positionV>
            <wp:extent cx="3185795" cy="2160270"/>
            <wp:effectExtent l="0" t="0" r="0" b="0"/>
            <wp:wrapNone/>
            <wp:docPr id="250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185795" cy="2160270"/>
                    </a:xfrm>
                    <a:prstGeom prst="rect">
                      <a:avLst/>
                    </a:prstGeom>
                    <a:noFill/>
                    <a:ln>
                      <a:noFill/>
                    </a:ln>
                  </pic:spPr>
                </pic:pic>
              </a:graphicData>
            </a:graphic>
            <wp14:sizeRelH relativeFrom="page">
              <wp14:pctWidth>0</wp14:pctWidth>
            </wp14:sizeRelH>
            <wp14:sizeRelV relativeFrom="page">
              <wp14:pctHeight>0</wp14:pctHeight>
            </wp14:sizeRelV>
          </wp:anchor>
        </w:drawing>
      </w:r>
      <w:r w:rsidR="004C7355" w:rsidRPr="004C7355">
        <w:rPr>
          <w:b/>
          <w:bCs/>
          <w:iCs/>
          <w:sz w:val="28"/>
          <w:szCs w:val="28"/>
        </w:rPr>
        <w:br w:type="page"/>
      </w:r>
      <w:r w:rsidR="004C7355" w:rsidRPr="004C7355">
        <w:rPr>
          <w:sz w:val="20"/>
          <w:szCs w:val="20"/>
          <w:lang w:val="en-GB"/>
        </w:rPr>
        <w:lastRenderedPageBreak/>
        <w:t xml:space="preserve"> </w:t>
      </w:r>
    </w:p>
    <w:p w:rsidR="001142A5" w:rsidRPr="004C7355" w:rsidRDefault="001142A5" w:rsidP="001142A5">
      <w:pPr>
        <w:pStyle w:val="Footer"/>
        <w:jc w:val="center"/>
        <w:rPr>
          <w:b/>
          <w:bCs/>
          <w:sz w:val="28"/>
          <w:szCs w:val="28"/>
          <w:lang w:val="en-US"/>
          <w14:shadow w14:blurRad="50800" w14:dist="38100" w14:dir="2700000" w14:sx="100000" w14:sy="100000" w14:kx="0" w14:ky="0" w14:algn="tl">
            <w14:srgbClr w14:val="000000">
              <w14:alpha w14:val="60000"/>
            </w14:srgbClr>
          </w14:shadow>
        </w:rPr>
      </w:pPr>
      <w:r w:rsidRPr="004C7355">
        <w:rPr>
          <w:b/>
          <w:bCs/>
          <w:sz w:val="28"/>
          <w:szCs w:val="28"/>
          <w:lang w:val="en-US"/>
          <w14:shadow w14:blurRad="50800" w14:dist="38100" w14:dir="2700000" w14:sx="100000" w14:sy="100000" w14:kx="0" w14:ky="0" w14:algn="tl">
            <w14:srgbClr w14:val="000000">
              <w14:alpha w14:val="60000"/>
            </w14:srgbClr>
          </w14:shadow>
        </w:rPr>
        <w:t>Trends in the European Investment Fund Industry</w:t>
      </w:r>
    </w:p>
    <w:p w:rsidR="001142A5" w:rsidRDefault="001142A5" w:rsidP="001142A5">
      <w:pPr>
        <w:pStyle w:val="Footer"/>
        <w:jc w:val="center"/>
        <w:rPr>
          <w:b/>
          <w:bCs/>
          <w:i/>
          <w:iCs/>
          <w:sz w:val="16"/>
          <w:szCs w:val="16"/>
          <w:lang w:val="en-US"/>
        </w:rPr>
      </w:pPr>
      <w:r w:rsidRPr="004C7355">
        <w:rPr>
          <w:b/>
          <w:bCs/>
          <w:i/>
          <w:iCs/>
          <w:sz w:val="28"/>
          <w:szCs w:val="28"/>
          <w:lang w:val="en-US"/>
          <w14:shadow w14:blurRad="50800" w14:dist="38100" w14:dir="2700000" w14:sx="100000" w14:sy="100000" w14:kx="0" w14:ky="0" w14:algn="tl">
            <w14:srgbClr w14:val="000000">
              <w14:alpha w14:val="60000"/>
            </w14:srgbClr>
          </w14:shadow>
        </w:rPr>
        <w:t>Net Assets by Country of Domiciliation</w:t>
      </w:r>
    </w:p>
    <w:p w:rsidR="001142A5" w:rsidRDefault="001142A5" w:rsidP="001142A5">
      <w:pPr>
        <w:pStyle w:val="Footer"/>
        <w:tabs>
          <w:tab w:val="left" w:pos="720"/>
          <w:tab w:val="left" w:pos="4320"/>
        </w:tabs>
        <w:spacing w:line="260" w:lineRule="exact"/>
        <w:jc w:val="both"/>
        <w:rPr>
          <w:sz w:val="22"/>
          <w:szCs w:val="22"/>
          <w:lang w:val="en-US"/>
        </w:rPr>
      </w:pPr>
    </w:p>
    <w:p w:rsidR="001142A5" w:rsidRPr="00D62403" w:rsidRDefault="001142A5" w:rsidP="001142A5">
      <w:pPr>
        <w:pStyle w:val="FootnoteText"/>
        <w:jc w:val="both"/>
        <w:rPr>
          <w:b/>
          <w:color w:val="0000FF"/>
          <w:sz w:val="22"/>
          <w:szCs w:val="22"/>
        </w:rPr>
      </w:pPr>
      <w:bookmarkStart w:id="2" w:name="OLE_LINK4"/>
      <w:bookmarkStart w:id="3" w:name="OLE_LINK5"/>
      <w:r>
        <w:rPr>
          <w:b/>
          <w:color w:val="0000FF"/>
          <w:sz w:val="22"/>
          <w:szCs w:val="22"/>
        </w:rPr>
        <w:t>Total net as</w:t>
      </w:r>
      <w:r w:rsidR="004A01D1">
        <w:rPr>
          <w:b/>
          <w:color w:val="0000FF"/>
          <w:sz w:val="22"/>
          <w:szCs w:val="22"/>
        </w:rPr>
        <w:t>sets of the European investment</w:t>
      </w:r>
      <w:r w:rsidR="0062560A">
        <w:rPr>
          <w:b/>
          <w:color w:val="0000FF"/>
          <w:sz w:val="22"/>
          <w:szCs w:val="22"/>
        </w:rPr>
        <w:t xml:space="preserve"> increased</w:t>
      </w:r>
      <w:r w:rsidR="00E62A08">
        <w:rPr>
          <w:b/>
          <w:color w:val="0000FF"/>
          <w:sz w:val="22"/>
          <w:szCs w:val="22"/>
        </w:rPr>
        <w:t xml:space="preserve"> to EUR 15,263</w:t>
      </w:r>
      <w:r w:rsidR="0062560A">
        <w:rPr>
          <w:b/>
          <w:color w:val="0000FF"/>
          <w:sz w:val="22"/>
          <w:szCs w:val="22"/>
        </w:rPr>
        <w:t xml:space="preserve"> billion at end </w:t>
      </w:r>
      <w:r w:rsidR="00DB7708">
        <w:rPr>
          <w:b/>
          <w:color w:val="0000FF"/>
          <w:sz w:val="22"/>
          <w:szCs w:val="22"/>
        </w:rPr>
        <w:t>Q3</w:t>
      </w:r>
      <w:r w:rsidR="0062560A">
        <w:rPr>
          <w:b/>
          <w:color w:val="0000FF"/>
          <w:sz w:val="22"/>
          <w:szCs w:val="22"/>
        </w:rPr>
        <w:t xml:space="preserve"> 2017, representing net asset growth </w:t>
      </w:r>
      <w:r w:rsidR="004A01D1">
        <w:rPr>
          <w:b/>
          <w:color w:val="0000FF"/>
          <w:sz w:val="22"/>
          <w:szCs w:val="22"/>
        </w:rPr>
        <w:t xml:space="preserve">of </w:t>
      </w:r>
      <w:r w:rsidR="00E62A08">
        <w:rPr>
          <w:b/>
          <w:color w:val="0000FF"/>
          <w:sz w:val="22"/>
          <w:szCs w:val="22"/>
        </w:rPr>
        <w:t>2.2</w:t>
      </w:r>
      <w:r w:rsidR="0062560A">
        <w:rPr>
          <w:b/>
          <w:color w:val="0000FF"/>
          <w:sz w:val="22"/>
          <w:szCs w:val="22"/>
        </w:rPr>
        <w:t xml:space="preserve">% since </w:t>
      </w:r>
      <w:r w:rsidR="00E62A08">
        <w:rPr>
          <w:b/>
          <w:color w:val="0000FF"/>
          <w:sz w:val="22"/>
          <w:szCs w:val="22"/>
        </w:rPr>
        <w:t>Q2</w:t>
      </w:r>
      <w:r w:rsidR="0062560A">
        <w:rPr>
          <w:b/>
          <w:color w:val="0000FF"/>
          <w:sz w:val="22"/>
          <w:szCs w:val="22"/>
        </w:rPr>
        <w:t xml:space="preserve"> 201</w:t>
      </w:r>
      <w:r w:rsidR="00B37B38">
        <w:rPr>
          <w:b/>
          <w:color w:val="0000FF"/>
          <w:sz w:val="22"/>
          <w:szCs w:val="22"/>
        </w:rPr>
        <w:t>7</w:t>
      </w:r>
      <w:r w:rsidR="00E62A08">
        <w:rPr>
          <w:b/>
          <w:color w:val="0000FF"/>
          <w:sz w:val="22"/>
          <w:szCs w:val="22"/>
        </w:rPr>
        <w:t xml:space="preserve"> and 7.8</w:t>
      </w:r>
      <w:r w:rsidR="0062560A">
        <w:rPr>
          <w:b/>
          <w:color w:val="0000FF"/>
          <w:sz w:val="22"/>
          <w:szCs w:val="22"/>
        </w:rPr>
        <w:t xml:space="preserve">% since end 2016. </w:t>
      </w:r>
    </w:p>
    <w:bookmarkEnd w:id="2"/>
    <w:bookmarkEnd w:id="3"/>
    <w:p w:rsidR="001142A5" w:rsidRDefault="001142A5" w:rsidP="001142A5">
      <w:pPr>
        <w:pStyle w:val="FootnoteText"/>
        <w:tabs>
          <w:tab w:val="left" w:pos="360"/>
        </w:tabs>
        <w:jc w:val="both"/>
        <w:rPr>
          <w:sz w:val="22"/>
          <w:szCs w:val="22"/>
        </w:rPr>
      </w:pPr>
    </w:p>
    <w:p w:rsidR="001142A5" w:rsidRDefault="00E62A08" w:rsidP="001142A5">
      <w:pPr>
        <w:pStyle w:val="FootnoteText"/>
        <w:tabs>
          <w:tab w:val="left" w:pos="360"/>
        </w:tabs>
        <w:jc w:val="both"/>
        <w:rPr>
          <w:sz w:val="22"/>
          <w:szCs w:val="22"/>
        </w:rPr>
      </w:pPr>
      <w:r>
        <w:rPr>
          <w:sz w:val="22"/>
          <w:szCs w:val="22"/>
        </w:rPr>
        <w:t>With EUR 9,41</w:t>
      </w:r>
      <w:r w:rsidR="00763B10">
        <w:rPr>
          <w:sz w:val="22"/>
          <w:szCs w:val="22"/>
        </w:rPr>
        <w:t>6</w:t>
      </w:r>
      <w:r w:rsidR="001142A5" w:rsidRPr="00654E5B">
        <w:rPr>
          <w:sz w:val="22"/>
          <w:szCs w:val="22"/>
        </w:rPr>
        <w:t xml:space="preserve"> billion invested in UCITS, this segmen</w:t>
      </w:r>
      <w:r>
        <w:rPr>
          <w:sz w:val="22"/>
          <w:szCs w:val="22"/>
        </w:rPr>
        <w:t>t accounted for 61.7</w:t>
      </w:r>
      <w:r w:rsidR="001142A5">
        <w:rPr>
          <w:sz w:val="22"/>
          <w:szCs w:val="22"/>
        </w:rPr>
        <w:t>% of total</w:t>
      </w:r>
      <w:r w:rsidR="001142A5" w:rsidRPr="00654E5B">
        <w:rPr>
          <w:sz w:val="22"/>
          <w:szCs w:val="22"/>
        </w:rPr>
        <w:t xml:space="preserve"> </w:t>
      </w:r>
      <w:r w:rsidR="001142A5">
        <w:rPr>
          <w:sz w:val="22"/>
          <w:szCs w:val="22"/>
        </w:rPr>
        <w:t xml:space="preserve">European investment </w:t>
      </w:r>
      <w:r w:rsidR="001142A5" w:rsidRPr="00654E5B">
        <w:rPr>
          <w:sz w:val="22"/>
          <w:szCs w:val="22"/>
        </w:rPr>
        <w:t>fund</w:t>
      </w:r>
      <w:r w:rsidR="001142A5">
        <w:rPr>
          <w:sz w:val="22"/>
          <w:szCs w:val="22"/>
        </w:rPr>
        <w:t xml:space="preserve"> assets at end </w:t>
      </w:r>
      <w:r w:rsidR="00DB7708">
        <w:rPr>
          <w:sz w:val="22"/>
          <w:szCs w:val="22"/>
        </w:rPr>
        <w:t>Q3</w:t>
      </w:r>
      <w:r w:rsidR="001142A5">
        <w:rPr>
          <w:sz w:val="22"/>
          <w:szCs w:val="22"/>
        </w:rPr>
        <w:t xml:space="preserve"> 2017, with the remaini</w:t>
      </w:r>
      <w:r>
        <w:rPr>
          <w:sz w:val="22"/>
          <w:szCs w:val="22"/>
        </w:rPr>
        <w:t>ng 38.3% (equivalent to EUR 5,8</w:t>
      </w:r>
      <w:r w:rsidR="00763B10">
        <w:rPr>
          <w:sz w:val="22"/>
          <w:szCs w:val="22"/>
        </w:rPr>
        <w:t>47</w:t>
      </w:r>
      <w:r w:rsidR="001142A5">
        <w:rPr>
          <w:sz w:val="22"/>
          <w:szCs w:val="22"/>
        </w:rPr>
        <w:t xml:space="preserve"> billion) coming from AIF. </w:t>
      </w:r>
    </w:p>
    <w:p w:rsidR="001142A5" w:rsidRDefault="001142A5" w:rsidP="001142A5">
      <w:pPr>
        <w:pStyle w:val="FootnoteText"/>
        <w:tabs>
          <w:tab w:val="left" w:pos="360"/>
        </w:tabs>
        <w:jc w:val="both"/>
        <w:rPr>
          <w:sz w:val="22"/>
          <w:szCs w:val="22"/>
        </w:rPr>
      </w:pPr>
    </w:p>
    <w:p w:rsidR="001142A5" w:rsidRDefault="00A62EA1" w:rsidP="001142A5">
      <w:pPr>
        <w:pStyle w:val="FootnoteText"/>
        <w:tabs>
          <w:tab w:val="left" w:pos="360"/>
        </w:tabs>
        <w:jc w:val="both"/>
        <w:rPr>
          <w:sz w:val="22"/>
          <w:szCs w:val="22"/>
        </w:rPr>
      </w:pPr>
      <w:r w:rsidRPr="00A62EA1">
        <w:rPr>
          <w:noProof/>
          <w:lang w:val="nl-BE" w:eastAsia="nl-BE"/>
        </w:rPr>
        <w:drawing>
          <wp:anchor distT="0" distB="0" distL="114300" distR="114300" simplePos="0" relativeHeight="251711488" behindDoc="0" locked="0" layoutInCell="1" allowOverlap="1">
            <wp:simplePos x="0" y="0"/>
            <wp:positionH relativeFrom="column">
              <wp:posOffset>276225</wp:posOffset>
            </wp:positionH>
            <wp:positionV relativeFrom="paragraph">
              <wp:posOffset>72153</wp:posOffset>
            </wp:positionV>
            <wp:extent cx="5709600" cy="6656400"/>
            <wp:effectExtent l="0" t="0" r="571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09600" cy="665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142A5" w:rsidRDefault="001142A5" w:rsidP="001142A5">
      <w:pPr>
        <w:pStyle w:val="FootnoteText"/>
        <w:tabs>
          <w:tab w:val="left" w:pos="360"/>
        </w:tabs>
        <w:jc w:val="center"/>
      </w:pPr>
    </w:p>
    <w:p w:rsidR="001142A5" w:rsidRPr="004C7355" w:rsidRDefault="001142A5" w:rsidP="001142A5">
      <w:pPr>
        <w:pStyle w:val="Footer"/>
        <w:jc w:val="center"/>
        <w:outlineLvl w:val="0"/>
        <w:rPr>
          <w:b/>
          <w:bCs/>
          <w:sz w:val="28"/>
          <w:szCs w:val="28"/>
          <w:lang w:val="en-US"/>
          <w14:shadow w14:blurRad="50800" w14:dist="38100" w14:dir="2700000" w14:sx="100000" w14:sy="100000" w14:kx="0" w14:ky="0" w14:algn="tl">
            <w14:srgbClr w14:val="000000">
              <w14:alpha w14:val="60000"/>
            </w14:srgbClr>
          </w14:shadow>
        </w:rPr>
      </w:pPr>
      <w:r>
        <w:br w:type="page"/>
      </w:r>
      <w:r w:rsidRPr="004C7355">
        <w:rPr>
          <w:b/>
          <w:bCs/>
          <w:sz w:val="28"/>
          <w:szCs w:val="28"/>
          <w:lang w:val="en-US"/>
          <w14:shadow w14:blurRad="50800" w14:dist="38100" w14:dir="2700000" w14:sx="100000" w14:sy="100000" w14:kx="0" w14:ky="0" w14:algn="tl">
            <w14:srgbClr w14:val="000000">
              <w14:alpha w14:val="60000"/>
            </w14:srgbClr>
          </w14:shadow>
        </w:rPr>
        <w:lastRenderedPageBreak/>
        <w:t>Trends in the European Investment Fund Industry</w:t>
      </w:r>
    </w:p>
    <w:p w:rsidR="001142A5" w:rsidRPr="004C7355" w:rsidRDefault="001142A5" w:rsidP="001142A5">
      <w:pPr>
        <w:pStyle w:val="Footer"/>
        <w:jc w:val="center"/>
        <w:rPr>
          <w:b/>
          <w:bCs/>
          <w:i/>
          <w:iCs/>
          <w:sz w:val="28"/>
          <w:szCs w:val="28"/>
          <w:lang w:val="en-US"/>
          <w14:shadow w14:blurRad="50800" w14:dist="38100" w14:dir="2700000" w14:sx="100000" w14:sy="100000" w14:kx="0" w14:ky="0" w14:algn="tl">
            <w14:srgbClr w14:val="000000">
              <w14:alpha w14:val="60000"/>
            </w14:srgbClr>
          </w14:shadow>
        </w:rPr>
      </w:pPr>
      <w:r w:rsidRPr="004C7355">
        <w:rPr>
          <w:b/>
          <w:bCs/>
          <w:i/>
          <w:iCs/>
          <w:sz w:val="28"/>
          <w:szCs w:val="28"/>
          <w:lang w:val="en-US"/>
          <w14:shadow w14:blurRad="50800" w14:dist="38100" w14:dir="2700000" w14:sx="100000" w14:sy="100000" w14:kx="0" w14:ky="0" w14:algn="tl">
            <w14:srgbClr w14:val="000000">
              <w14:alpha w14:val="60000"/>
            </w14:srgbClr>
          </w14:shadow>
        </w:rPr>
        <w:t>Number of Funds by Country of Domiciliation</w:t>
      </w:r>
    </w:p>
    <w:p w:rsidR="001142A5" w:rsidRDefault="001142A5" w:rsidP="001142A5">
      <w:pPr>
        <w:pStyle w:val="FootnoteText"/>
        <w:jc w:val="both"/>
        <w:rPr>
          <w:b/>
          <w:color w:val="0000FF"/>
          <w:sz w:val="22"/>
          <w:szCs w:val="22"/>
        </w:rPr>
      </w:pPr>
    </w:p>
    <w:p w:rsidR="001142A5" w:rsidRPr="00D62403" w:rsidRDefault="001142A5" w:rsidP="001142A5">
      <w:pPr>
        <w:pStyle w:val="FootnoteText"/>
        <w:jc w:val="both"/>
        <w:rPr>
          <w:b/>
          <w:color w:val="0000FF"/>
          <w:sz w:val="22"/>
          <w:szCs w:val="22"/>
        </w:rPr>
      </w:pPr>
      <w:r>
        <w:rPr>
          <w:b/>
          <w:color w:val="0000FF"/>
          <w:sz w:val="22"/>
          <w:szCs w:val="22"/>
        </w:rPr>
        <w:t xml:space="preserve">In </w:t>
      </w:r>
      <w:r w:rsidR="00DB7708">
        <w:rPr>
          <w:b/>
          <w:color w:val="0000FF"/>
          <w:sz w:val="22"/>
          <w:szCs w:val="22"/>
        </w:rPr>
        <w:t>Q3</w:t>
      </w:r>
      <w:r>
        <w:rPr>
          <w:b/>
          <w:color w:val="0000FF"/>
          <w:sz w:val="22"/>
          <w:szCs w:val="22"/>
        </w:rPr>
        <w:t xml:space="preserve"> 2017, t</w:t>
      </w:r>
      <w:r w:rsidRPr="00654E5B">
        <w:rPr>
          <w:b/>
          <w:color w:val="0000FF"/>
          <w:sz w:val="22"/>
          <w:szCs w:val="22"/>
        </w:rPr>
        <w:t xml:space="preserve">he </w:t>
      </w:r>
      <w:r>
        <w:rPr>
          <w:b/>
          <w:color w:val="0000FF"/>
          <w:sz w:val="22"/>
          <w:szCs w:val="22"/>
        </w:rPr>
        <w:t>total number of UCITS and AIF f</w:t>
      </w:r>
      <w:r w:rsidR="00387B54">
        <w:rPr>
          <w:b/>
          <w:color w:val="0000FF"/>
          <w:sz w:val="22"/>
          <w:szCs w:val="22"/>
        </w:rPr>
        <w:t>unds increased by 0.3% to 59,9</w:t>
      </w:r>
      <w:r w:rsidR="00DA6B97">
        <w:rPr>
          <w:b/>
          <w:color w:val="0000FF"/>
          <w:sz w:val="22"/>
          <w:szCs w:val="22"/>
        </w:rPr>
        <w:t>41</w:t>
      </w:r>
      <w:r>
        <w:rPr>
          <w:b/>
          <w:color w:val="0000FF"/>
          <w:sz w:val="22"/>
          <w:szCs w:val="22"/>
        </w:rPr>
        <w:t>.</w:t>
      </w:r>
    </w:p>
    <w:p w:rsidR="001142A5" w:rsidRDefault="001142A5" w:rsidP="001142A5">
      <w:pPr>
        <w:pStyle w:val="Footer"/>
        <w:tabs>
          <w:tab w:val="left" w:pos="720"/>
          <w:tab w:val="left" w:pos="4320"/>
        </w:tabs>
        <w:spacing w:line="260" w:lineRule="exact"/>
        <w:jc w:val="both"/>
        <w:rPr>
          <w:sz w:val="22"/>
          <w:szCs w:val="22"/>
          <w:lang w:val="en-US"/>
        </w:rPr>
      </w:pPr>
    </w:p>
    <w:p w:rsidR="001142A5" w:rsidRDefault="001142A5" w:rsidP="001142A5">
      <w:pPr>
        <w:pStyle w:val="FootnoteText"/>
        <w:tabs>
          <w:tab w:val="left" w:pos="360"/>
        </w:tabs>
        <w:jc w:val="both"/>
        <w:rPr>
          <w:sz w:val="22"/>
          <w:szCs w:val="22"/>
        </w:rPr>
      </w:pPr>
      <w:r>
        <w:rPr>
          <w:sz w:val="22"/>
          <w:szCs w:val="22"/>
        </w:rPr>
        <w:t xml:space="preserve">At the end of the </w:t>
      </w:r>
      <w:r w:rsidR="00DB7708">
        <w:rPr>
          <w:sz w:val="22"/>
          <w:szCs w:val="22"/>
        </w:rPr>
        <w:t>third</w:t>
      </w:r>
      <w:r>
        <w:rPr>
          <w:sz w:val="22"/>
          <w:szCs w:val="22"/>
        </w:rPr>
        <w:t xml:space="preserve"> quarter of 2017, UCITS accounted for 3</w:t>
      </w:r>
      <w:r w:rsidR="002E153B">
        <w:rPr>
          <w:sz w:val="22"/>
          <w:szCs w:val="22"/>
        </w:rPr>
        <w:t>1,491</w:t>
      </w:r>
      <w:r>
        <w:rPr>
          <w:sz w:val="22"/>
          <w:szCs w:val="22"/>
        </w:rPr>
        <w:t xml:space="preserve"> funds or 52.5% of the European investment fund mark</w:t>
      </w:r>
      <w:r w:rsidR="00387B54">
        <w:rPr>
          <w:sz w:val="22"/>
          <w:szCs w:val="22"/>
        </w:rPr>
        <w:t xml:space="preserve">et, while AIF </w:t>
      </w:r>
      <w:r w:rsidR="002E153B">
        <w:rPr>
          <w:sz w:val="22"/>
          <w:szCs w:val="22"/>
        </w:rPr>
        <w:t xml:space="preserve">accounted for 28,447 </w:t>
      </w:r>
      <w:r>
        <w:rPr>
          <w:sz w:val="22"/>
          <w:szCs w:val="22"/>
        </w:rPr>
        <w:t>funds, or 47.5% of the market.</w:t>
      </w:r>
    </w:p>
    <w:p w:rsidR="001142A5" w:rsidRDefault="001142A5" w:rsidP="001142A5">
      <w:pPr>
        <w:pStyle w:val="FootnoteText"/>
        <w:tabs>
          <w:tab w:val="left" w:pos="360"/>
        </w:tabs>
        <w:jc w:val="both"/>
        <w:rPr>
          <w:sz w:val="22"/>
          <w:szCs w:val="22"/>
        </w:rPr>
      </w:pPr>
    </w:p>
    <w:p w:rsidR="001142A5" w:rsidRDefault="00A62EA1" w:rsidP="001142A5">
      <w:pPr>
        <w:pStyle w:val="FootnoteText"/>
        <w:tabs>
          <w:tab w:val="left" w:pos="360"/>
        </w:tabs>
        <w:jc w:val="center"/>
      </w:pPr>
      <w:r w:rsidRPr="00A62EA1">
        <w:rPr>
          <w:noProof/>
          <w:lang w:val="nl-BE" w:eastAsia="nl-BE"/>
        </w:rPr>
        <w:drawing>
          <wp:anchor distT="0" distB="0" distL="114300" distR="114300" simplePos="0" relativeHeight="251712512" behindDoc="0" locked="0" layoutInCell="1" allowOverlap="1">
            <wp:simplePos x="0" y="0"/>
            <wp:positionH relativeFrom="column">
              <wp:posOffset>201930</wp:posOffset>
            </wp:positionH>
            <wp:positionV relativeFrom="paragraph">
              <wp:posOffset>90716</wp:posOffset>
            </wp:positionV>
            <wp:extent cx="5857200" cy="62532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57200" cy="625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142A5" w:rsidRDefault="001142A5" w:rsidP="001142A5">
      <w:pPr>
        <w:pStyle w:val="FootnoteText"/>
        <w:tabs>
          <w:tab w:val="left" w:pos="360"/>
        </w:tabs>
        <w:jc w:val="center"/>
      </w:pPr>
    </w:p>
    <w:p w:rsidR="001142A5" w:rsidRDefault="001142A5" w:rsidP="001142A5">
      <w:pPr>
        <w:pStyle w:val="FootnoteText"/>
        <w:tabs>
          <w:tab w:val="left" w:pos="360"/>
        </w:tabs>
        <w:jc w:val="center"/>
      </w:pPr>
    </w:p>
    <w:p w:rsidR="001665DF" w:rsidRDefault="001665DF" w:rsidP="00AD3D5F">
      <w:pPr>
        <w:pStyle w:val="FootnoteText"/>
        <w:tabs>
          <w:tab w:val="left" w:pos="360"/>
        </w:tabs>
        <w:jc w:val="center"/>
      </w:pPr>
    </w:p>
    <w:sectPr w:rsidR="001665DF">
      <w:headerReference w:type="default" r:id="rId40"/>
      <w:footerReference w:type="default" r:id="rId41"/>
      <w:pgSz w:w="11906" w:h="16838" w:code="9"/>
      <w:pgMar w:top="794" w:right="1021" w:bottom="1134" w:left="1021" w:header="709" w:footer="709" w:gutter="0"/>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902" w:rsidRDefault="00214902">
      <w:r>
        <w:separator/>
      </w:r>
    </w:p>
  </w:endnote>
  <w:endnote w:type="continuationSeparator" w:id="0">
    <w:p w:rsidR="00214902" w:rsidRDefault="0021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23C" w:rsidRDefault="003B223C" w:rsidP="00E009CD">
    <w:pPr>
      <w:pStyle w:val="Footer"/>
      <w:tabs>
        <w:tab w:val="left" w:pos="9270"/>
      </w:tabs>
      <w:ind w:right="360"/>
      <w:jc w:val="right"/>
      <w:rPr>
        <w:i/>
        <w:iCs/>
      </w:rPr>
    </w:pPr>
    <w:r>
      <w:rPr>
        <w:i/>
        <w:iCs/>
      </w:rPr>
      <w:t>EFAMA Quarterly</w:t>
    </w:r>
    <w:r w:rsidR="003F103A">
      <w:rPr>
        <w:i/>
        <w:iCs/>
      </w:rPr>
      <w:t xml:space="preserve"> Statis</w:t>
    </w:r>
    <w:r w:rsidR="008F5746">
      <w:rPr>
        <w:i/>
        <w:iCs/>
      </w:rPr>
      <w:t>tical Release N°71</w:t>
    </w:r>
    <w:r w:rsidR="00DB7D89">
      <w:rPr>
        <w:i/>
        <w:iCs/>
      </w:rPr>
      <w:t xml:space="preserve"> (</w:t>
    </w:r>
    <w:r w:rsidR="00DB7708">
      <w:rPr>
        <w:i/>
        <w:iCs/>
      </w:rPr>
      <w:t>Third</w:t>
    </w:r>
    <w:r w:rsidR="000E5FCE">
      <w:rPr>
        <w:i/>
        <w:iCs/>
      </w:rPr>
      <w:t xml:space="preserve"> quarter of 2017</w:t>
    </w:r>
    <w:r>
      <w:rPr>
        <w:i/>
        <w:iC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902" w:rsidRDefault="00214902">
      <w:r>
        <w:separator/>
      </w:r>
    </w:p>
  </w:footnote>
  <w:footnote w:type="continuationSeparator" w:id="0">
    <w:p w:rsidR="00214902" w:rsidRDefault="00214902">
      <w:r>
        <w:continuationSeparator/>
      </w:r>
    </w:p>
  </w:footnote>
  <w:footnote w:id="1">
    <w:p w:rsidR="001142A5" w:rsidRDefault="001142A5" w:rsidP="001142A5">
      <w:pPr>
        <w:pStyle w:val="FootnoteText"/>
      </w:pPr>
      <w:r>
        <w:rPr>
          <w:rStyle w:val="FootnoteReference"/>
        </w:rPr>
        <w:footnoteRef/>
      </w:r>
      <w:r>
        <w:t xml:space="preserve"> Please note that this data does not include net sales of UCITS ETF domiciled in Luxembourg.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23C" w:rsidRDefault="003B223C">
    <w:pPr>
      <w:pStyle w:val="Header"/>
      <w:framePr w:wrap="auto" w:vAnchor="text" w:hAnchor="margin" w:xAlign="right" w:y="1"/>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7F3CE3">
      <w:rPr>
        <w:rStyle w:val="PageNumber"/>
        <w:noProof/>
        <w:sz w:val="20"/>
        <w:szCs w:val="20"/>
      </w:rPr>
      <w:t>14</w:t>
    </w:r>
    <w:r>
      <w:rPr>
        <w:rStyle w:val="PageNumber"/>
        <w:sz w:val="20"/>
        <w:szCs w:val="20"/>
      </w:rPr>
      <w:fldChar w:fldCharType="end"/>
    </w:r>
  </w:p>
  <w:p w:rsidR="003B223C" w:rsidRDefault="003B223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44409"/>
    <w:multiLevelType w:val="hybridMultilevel"/>
    <w:tmpl w:val="8B04985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A5C0CEB"/>
    <w:multiLevelType w:val="hybridMultilevel"/>
    <w:tmpl w:val="E6BA0C3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F317CD0"/>
    <w:multiLevelType w:val="hybridMultilevel"/>
    <w:tmpl w:val="ECB0AA64"/>
    <w:lvl w:ilvl="0" w:tplc="16A40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26C17"/>
    <w:multiLevelType w:val="hybridMultilevel"/>
    <w:tmpl w:val="D528DBB2"/>
    <w:lvl w:ilvl="0" w:tplc="8D7C54F0">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10B58"/>
    <w:multiLevelType w:val="hybridMultilevel"/>
    <w:tmpl w:val="B4FC9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22FCD"/>
    <w:multiLevelType w:val="hybridMultilevel"/>
    <w:tmpl w:val="552E4D6C"/>
    <w:lvl w:ilvl="0" w:tplc="8CDC3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A150B"/>
    <w:multiLevelType w:val="hybridMultilevel"/>
    <w:tmpl w:val="E384F95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076C5"/>
    <w:multiLevelType w:val="hybridMultilevel"/>
    <w:tmpl w:val="5F9687AA"/>
    <w:lvl w:ilvl="0" w:tplc="A87048F8">
      <w:start w:val="2009"/>
      <w:numFmt w:val="bullet"/>
      <w:lvlText w:val=""/>
      <w:lvlJc w:val="left"/>
      <w:pPr>
        <w:ind w:left="720" w:hanging="360"/>
      </w:pPr>
      <w:rPr>
        <w:rFonts w:ascii="Wingdings" w:eastAsia="Times New Roman" w:hAnsi="Wingdings" w:cs="Times New Roman"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4FB57D3"/>
    <w:multiLevelType w:val="hybridMultilevel"/>
    <w:tmpl w:val="25769C7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26F951C9"/>
    <w:multiLevelType w:val="hybridMultilevel"/>
    <w:tmpl w:val="B9F68BB4"/>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BCD0944"/>
    <w:multiLevelType w:val="hybridMultilevel"/>
    <w:tmpl w:val="265E2ADC"/>
    <w:lvl w:ilvl="0" w:tplc="69963E10">
      <w:start w:val="1"/>
      <w:numFmt w:val="bullet"/>
      <w:lvlText w:val=""/>
      <w:lvlJc w:val="left"/>
      <w:pPr>
        <w:ind w:left="720" w:hanging="360"/>
      </w:pPr>
      <w:rPr>
        <w:rFonts w:ascii="Symbol" w:hAnsi="Symbol" w:hint="default"/>
        <w:color w:val="0000FF"/>
      </w:rPr>
    </w:lvl>
    <w:lvl w:ilvl="1" w:tplc="0813000B">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1960A07"/>
    <w:multiLevelType w:val="hybridMultilevel"/>
    <w:tmpl w:val="CA6E74A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3BDE7362"/>
    <w:multiLevelType w:val="hybridMultilevel"/>
    <w:tmpl w:val="AD0A06F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0C75585"/>
    <w:multiLevelType w:val="hybridMultilevel"/>
    <w:tmpl w:val="337A3E8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1C723AC"/>
    <w:multiLevelType w:val="hybridMultilevel"/>
    <w:tmpl w:val="57C8FAB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5" w15:restartNumberingAfterBreak="0">
    <w:nsid w:val="41E24F11"/>
    <w:multiLevelType w:val="hybridMultilevel"/>
    <w:tmpl w:val="11BA6A0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436F493C"/>
    <w:multiLevelType w:val="hybridMultilevel"/>
    <w:tmpl w:val="A56E07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73055D"/>
    <w:multiLevelType w:val="hybridMultilevel"/>
    <w:tmpl w:val="31340A3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9A9099C"/>
    <w:multiLevelType w:val="hybridMultilevel"/>
    <w:tmpl w:val="50D8E044"/>
    <w:lvl w:ilvl="0" w:tplc="F81861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2D6BC6"/>
    <w:multiLevelType w:val="hybridMultilevel"/>
    <w:tmpl w:val="A6C6A15E"/>
    <w:lvl w:ilvl="0" w:tplc="AEE4F5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0D6081"/>
    <w:multiLevelType w:val="hybridMultilevel"/>
    <w:tmpl w:val="F36AD89C"/>
    <w:lvl w:ilvl="0" w:tplc="04090001">
      <w:start w:val="1"/>
      <w:numFmt w:val="bullet"/>
      <w:lvlText w:val=""/>
      <w:lvlJc w:val="left"/>
      <w:pPr>
        <w:ind w:left="720" w:hanging="360"/>
      </w:pPr>
      <w:rPr>
        <w:rFonts w:ascii="Symbol" w:hAnsi="Symbol" w:hint="default"/>
      </w:rPr>
    </w:lvl>
    <w:lvl w:ilvl="1" w:tplc="9522E28E">
      <w:start w:val="1"/>
      <w:numFmt w:val="bullet"/>
      <w:lvlText w:val=""/>
      <w:lvlJc w:val="left"/>
      <w:pPr>
        <w:ind w:left="1440" w:hanging="360"/>
      </w:pPr>
      <w:rPr>
        <w:rFonts w:ascii="Symbol" w:hAnsi="Symbol" w:hint="default"/>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7921A1"/>
    <w:multiLevelType w:val="hybridMultilevel"/>
    <w:tmpl w:val="6F9E8C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6F36C01"/>
    <w:multiLevelType w:val="hybridMultilevel"/>
    <w:tmpl w:val="63B829A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8161019"/>
    <w:multiLevelType w:val="hybridMultilevel"/>
    <w:tmpl w:val="D604E262"/>
    <w:lvl w:ilvl="0" w:tplc="342AA9D4">
      <w:start w:val="1"/>
      <w:numFmt w:val="bullet"/>
      <w:lvlText w:val=""/>
      <w:lvlJc w:val="left"/>
      <w:pPr>
        <w:tabs>
          <w:tab w:val="num" w:pos="397"/>
        </w:tabs>
        <w:ind w:left="397" w:hanging="397"/>
      </w:pPr>
      <w:rPr>
        <w:rFonts w:ascii="Symbol" w:hAnsi="Symbol" w:hint="default"/>
      </w:rPr>
    </w:lvl>
    <w:lvl w:ilvl="1" w:tplc="CCE044A4">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DF3D86"/>
    <w:multiLevelType w:val="hybridMultilevel"/>
    <w:tmpl w:val="6ACEE474"/>
    <w:lvl w:ilvl="0" w:tplc="C4CC5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977949"/>
    <w:multiLevelType w:val="hybridMultilevel"/>
    <w:tmpl w:val="EAB4B702"/>
    <w:lvl w:ilvl="0" w:tplc="A87048F8">
      <w:start w:val="2009"/>
      <w:numFmt w:val="bullet"/>
      <w:lvlText w:val=""/>
      <w:lvlJc w:val="left"/>
      <w:pPr>
        <w:ind w:left="720" w:hanging="360"/>
      </w:pPr>
      <w:rPr>
        <w:rFonts w:ascii="Wingdings" w:eastAsia="Times New Roman" w:hAnsi="Wingdings" w:cs="Times New Roman"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BD36E15"/>
    <w:multiLevelType w:val="hybridMultilevel"/>
    <w:tmpl w:val="7FD47880"/>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C5D205A"/>
    <w:multiLevelType w:val="hybridMultilevel"/>
    <w:tmpl w:val="0E0AFF06"/>
    <w:lvl w:ilvl="0" w:tplc="DA823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321B15"/>
    <w:multiLevelType w:val="hybridMultilevel"/>
    <w:tmpl w:val="5BBA5F78"/>
    <w:lvl w:ilvl="0" w:tplc="1E4A7B9A">
      <w:numFmt w:val="bullet"/>
      <w:lvlText w:val=""/>
      <w:lvlJc w:val="left"/>
      <w:pPr>
        <w:ind w:left="1080" w:hanging="360"/>
      </w:pPr>
      <w:rPr>
        <w:rFonts w:ascii="Symbol" w:eastAsia="Times New Roman" w:hAnsi="Symbol"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9" w15:restartNumberingAfterBreak="0">
    <w:nsid w:val="5EA64B90"/>
    <w:multiLevelType w:val="hybridMultilevel"/>
    <w:tmpl w:val="12C42F0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EE5079"/>
    <w:multiLevelType w:val="multilevel"/>
    <w:tmpl w:val="4BD80D0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31" w15:restartNumberingAfterBreak="0">
    <w:nsid w:val="67E33F1B"/>
    <w:multiLevelType w:val="hybridMultilevel"/>
    <w:tmpl w:val="6FD6D1B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255440"/>
    <w:multiLevelType w:val="hybridMultilevel"/>
    <w:tmpl w:val="C11034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DC44C8F"/>
    <w:multiLevelType w:val="hybridMultilevel"/>
    <w:tmpl w:val="B27E415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4" w15:restartNumberingAfterBreak="0">
    <w:nsid w:val="6ECC5CF4"/>
    <w:multiLevelType w:val="hybridMultilevel"/>
    <w:tmpl w:val="6F208198"/>
    <w:lvl w:ilvl="0" w:tplc="981CF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2921FB"/>
    <w:multiLevelType w:val="hybridMultilevel"/>
    <w:tmpl w:val="747E9984"/>
    <w:lvl w:ilvl="0" w:tplc="2E92DC34">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147848"/>
    <w:multiLevelType w:val="hybridMultilevel"/>
    <w:tmpl w:val="956CFC40"/>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BB519F5"/>
    <w:multiLevelType w:val="hybridMultilevel"/>
    <w:tmpl w:val="7908B7DE"/>
    <w:lvl w:ilvl="0" w:tplc="C18A64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3F239A"/>
    <w:multiLevelType w:val="hybridMultilevel"/>
    <w:tmpl w:val="4CD4E80A"/>
    <w:lvl w:ilvl="0" w:tplc="E1D8CEE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7"/>
  </w:num>
  <w:num w:numId="4">
    <w:abstractNumId w:val="26"/>
  </w:num>
  <w:num w:numId="5">
    <w:abstractNumId w:val="22"/>
  </w:num>
  <w:num w:numId="6">
    <w:abstractNumId w:val="8"/>
  </w:num>
  <w:num w:numId="7">
    <w:abstractNumId w:val="25"/>
  </w:num>
  <w:num w:numId="8">
    <w:abstractNumId w:val="7"/>
  </w:num>
  <w:num w:numId="9">
    <w:abstractNumId w:val="23"/>
  </w:num>
  <w:num w:numId="10">
    <w:abstractNumId w:val="32"/>
  </w:num>
  <w:num w:numId="11">
    <w:abstractNumId w:val="33"/>
  </w:num>
  <w:num w:numId="12">
    <w:abstractNumId w:val="30"/>
  </w:num>
  <w:num w:numId="13">
    <w:abstractNumId w:val="11"/>
  </w:num>
  <w:num w:numId="14">
    <w:abstractNumId w:val="12"/>
  </w:num>
  <w:num w:numId="15">
    <w:abstractNumId w:val="0"/>
  </w:num>
  <w:num w:numId="16">
    <w:abstractNumId w:val="1"/>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7"/>
  </w:num>
  <w:num w:numId="20">
    <w:abstractNumId w:val="2"/>
  </w:num>
  <w:num w:numId="21">
    <w:abstractNumId w:val="35"/>
  </w:num>
  <w:num w:numId="22">
    <w:abstractNumId w:val="5"/>
  </w:num>
  <w:num w:numId="23">
    <w:abstractNumId w:val="27"/>
  </w:num>
  <w:num w:numId="24">
    <w:abstractNumId w:val="34"/>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9"/>
  </w:num>
  <w:num w:numId="28">
    <w:abstractNumId w:val="24"/>
  </w:num>
  <w:num w:numId="29">
    <w:abstractNumId w:val="20"/>
  </w:num>
  <w:num w:numId="30">
    <w:abstractNumId w:val="14"/>
  </w:num>
  <w:num w:numId="31">
    <w:abstractNumId w:val="15"/>
  </w:num>
  <w:num w:numId="32">
    <w:abstractNumId w:val="36"/>
  </w:num>
  <w:num w:numId="33">
    <w:abstractNumId w:val="28"/>
  </w:num>
  <w:num w:numId="34">
    <w:abstractNumId w:val="38"/>
  </w:num>
  <w:num w:numId="35">
    <w:abstractNumId w:val="4"/>
  </w:num>
  <w:num w:numId="36">
    <w:abstractNumId w:val="16"/>
  </w:num>
  <w:num w:numId="37">
    <w:abstractNumId w:val="6"/>
  </w:num>
  <w:num w:numId="38">
    <w:abstractNumId w:val="31"/>
  </w:num>
  <w:num w:numId="39">
    <w:abstractNumId w:val="29"/>
  </w:num>
  <w:num w:numId="4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4"/>
  <w:drawingGridVerticalSpacing w:val="14"/>
  <w:displayHorizontalDrawingGridEvery w:val="0"/>
  <w:displayVerticalDrawingGridEvery w:val="3"/>
  <w:doNotUseMarginsForDrawingGridOrigin/>
  <w:drawingGridHorizontalOrigin w:val="1699"/>
  <w:drawingGridVerticalOrigin w:val="1987"/>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F93"/>
    <w:rsid w:val="00000909"/>
    <w:rsid w:val="00000E96"/>
    <w:rsid w:val="000021E2"/>
    <w:rsid w:val="00002C7A"/>
    <w:rsid w:val="0000557D"/>
    <w:rsid w:val="0000603C"/>
    <w:rsid w:val="000072E8"/>
    <w:rsid w:val="00007955"/>
    <w:rsid w:val="00011437"/>
    <w:rsid w:val="00013347"/>
    <w:rsid w:val="00013601"/>
    <w:rsid w:val="000143F1"/>
    <w:rsid w:val="00015029"/>
    <w:rsid w:val="000156F4"/>
    <w:rsid w:val="00015A9A"/>
    <w:rsid w:val="00016869"/>
    <w:rsid w:val="0001687B"/>
    <w:rsid w:val="0001732B"/>
    <w:rsid w:val="00017503"/>
    <w:rsid w:val="00017F66"/>
    <w:rsid w:val="00020BB4"/>
    <w:rsid w:val="000240E8"/>
    <w:rsid w:val="000241F0"/>
    <w:rsid w:val="00024985"/>
    <w:rsid w:val="000251D7"/>
    <w:rsid w:val="0002568C"/>
    <w:rsid w:val="00025B5D"/>
    <w:rsid w:val="0002641C"/>
    <w:rsid w:val="000271CE"/>
    <w:rsid w:val="000277C2"/>
    <w:rsid w:val="00027DAD"/>
    <w:rsid w:val="00031C6F"/>
    <w:rsid w:val="00033301"/>
    <w:rsid w:val="00033C5A"/>
    <w:rsid w:val="00033F37"/>
    <w:rsid w:val="000345E8"/>
    <w:rsid w:val="000347A3"/>
    <w:rsid w:val="00034F2C"/>
    <w:rsid w:val="00035267"/>
    <w:rsid w:val="00036843"/>
    <w:rsid w:val="00037A72"/>
    <w:rsid w:val="00037E90"/>
    <w:rsid w:val="00037F73"/>
    <w:rsid w:val="00040297"/>
    <w:rsid w:val="000404E1"/>
    <w:rsid w:val="000409C1"/>
    <w:rsid w:val="00040D1C"/>
    <w:rsid w:val="00040E7E"/>
    <w:rsid w:val="0004187C"/>
    <w:rsid w:val="000423E1"/>
    <w:rsid w:val="000438E1"/>
    <w:rsid w:val="00044211"/>
    <w:rsid w:val="00044B87"/>
    <w:rsid w:val="00045D50"/>
    <w:rsid w:val="00045ED9"/>
    <w:rsid w:val="000463D0"/>
    <w:rsid w:val="00047145"/>
    <w:rsid w:val="00047D53"/>
    <w:rsid w:val="00047F76"/>
    <w:rsid w:val="00053322"/>
    <w:rsid w:val="00053AD6"/>
    <w:rsid w:val="00054657"/>
    <w:rsid w:val="00054D60"/>
    <w:rsid w:val="00055E3C"/>
    <w:rsid w:val="00056626"/>
    <w:rsid w:val="00056A30"/>
    <w:rsid w:val="000573B0"/>
    <w:rsid w:val="00061A1C"/>
    <w:rsid w:val="00061C27"/>
    <w:rsid w:val="0006310F"/>
    <w:rsid w:val="00063CCB"/>
    <w:rsid w:val="00064214"/>
    <w:rsid w:val="000653F2"/>
    <w:rsid w:val="00066F76"/>
    <w:rsid w:val="00067DE3"/>
    <w:rsid w:val="00070171"/>
    <w:rsid w:val="00070B33"/>
    <w:rsid w:val="000714A9"/>
    <w:rsid w:val="00071E2E"/>
    <w:rsid w:val="00072669"/>
    <w:rsid w:val="00073987"/>
    <w:rsid w:val="000744BE"/>
    <w:rsid w:val="000775A7"/>
    <w:rsid w:val="000779E5"/>
    <w:rsid w:val="00080D20"/>
    <w:rsid w:val="00081071"/>
    <w:rsid w:val="000817B9"/>
    <w:rsid w:val="00081B3F"/>
    <w:rsid w:val="0008254F"/>
    <w:rsid w:val="00082BB1"/>
    <w:rsid w:val="00083A2E"/>
    <w:rsid w:val="000843DD"/>
    <w:rsid w:val="000851B3"/>
    <w:rsid w:val="00085208"/>
    <w:rsid w:val="000864D3"/>
    <w:rsid w:val="00086B6E"/>
    <w:rsid w:val="00087ABD"/>
    <w:rsid w:val="00087D87"/>
    <w:rsid w:val="000902A4"/>
    <w:rsid w:val="00091523"/>
    <w:rsid w:val="00091E3D"/>
    <w:rsid w:val="0009516D"/>
    <w:rsid w:val="00095564"/>
    <w:rsid w:val="00097037"/>
    <w:rsid w:val="00097964"/>
    <w:rsid w:val="000A0790"/>
    <w:rsid w:val="000A0BC0"/>
    <w:rsid w:val="000A2D59"/>
    <w:rsid w:val="000A3084"/>
    <w:rsid w:val="000A3923"/>
    <w:rsid w:val="000A3B29"/>
    <w:rsid w:val="000A77C2"/>
    <w:rsid w:val="000B03BD"/>
    <w:rsid w:val="000B0564"/>
    <w:rsid w:val="000B0B3D"/>
    <w:rsid w:val="000B2912"/>
    <w:rsid w:val="000B378A"/>
    <w:rsid w:val="000B3DB4"/>
    <w:rsid w:val="000B466E"/>
    <w:rsid w:val="000B4EDD"/>
    <w:rsid w:val="000B5B37"/>
    <w:rsid w:val="000B5BBC"/>
    <w:rsid w:val="000B5BF1"/>
    <w:rsid w:val="000B6767"/>
    <w:rsid w:val="000B7C55"/>
    <w:rsid w:val="000C2946"/>
    <w:rsid w:val="000C2E9E"/>
    <w:rsid w:val="000C345C"/>
    <w:rsid w:val="000C394B"/>
    <w:rsid w:val="000C3AB6"/>
    <w:rsid w:val="000C5134"/>
    <w:rsid w:val="000C522E"/>
    <w:rsid w:val="000C5320"/>
    <w:rsid w:val="000C561E"/>
    <w:rsid w:val="000C6D7A"/>
    <w:rsid w:val="000D143A"/>
    <w:rsid w:val="000D1521"/>
    <w:rsid w:val="000D1C75"/>
    <w:rsid w:val="000D2C47"/>
    <w:rsid w:val="000D2E16"/>
    <w:rsid w:val="000D2F8E"/>
    <w:rsid w:val="000D3D28"/>
    <w:rsid w:val="000D46CD"/>
    <w:rsid w:val="000D4CD9"/>
    <w:rsid w:val="000D50FA"/>
    <w:rsid w:val="000D639B"/>
    <w:rsid w:val="000D7292"/>
    <w:rsid w:val="000E08F1"/>
    <w:rsid w:val="000E3420"/>
    <w:rsid w:val="000E3C2A"/>
    <w:rsid w:val="000E4B97"/>
    <w:rsid w:val="000E5FCE"/>
    <w:rsid w:val="000E6434"/>
    <w:rsid w:val="000E6CAA"/>
    <w:rsid w:val="000E774C"/>
    <w:rsid w:val="000E7B92"/>
    <w:rsid w:val="000E7DB4"/>
    <w:rsid w:val="000F0315"/>
    <w:rsid w:val="000F0527"/>
    <w:rsid w:val="000F0993"/>
    <w:rsid w:val="000F1A5C"/>
    <w:rsid w:val="000F35B3"/>
    <w:rsid w:val="000F35E3"/>
    <w:rsid w:val="000F40D8"/>
    <w:rsid w:val="000F4E8E"/>
    <w:rsid w:val="000F4E95"/>
    <w:rsid w:val="000F5251"/>
    <w:rsid w:val="000F54F4"/>
    <w:rsid w:val="000F5E1F"/>
    <w:rsid w:val="000F708B"/>
    <w:rsid w:val="000F7184"/>
    <w:rsid w:val="000F724B"/>
    <w:rsid w:val="00100B9A"/>
    <w:rsid w:val="001016DB"/>
    <w:rsid w:val="00101721"/>
    <w:rsid w:val="001046B5"/>
    <w:rsid w:val="00104F7D"/>
    <w:rsid w:val="00105999"/>
    <w:rsid w:val="00105FAB"/>
    <w:rsid w:val="00106448"/>
    <w:rsid w:val="0010683D"/>
    <w:rsid w:val="001076C3"/>
    <w:rsid w:val="00110791"/>
    <w:rsid w:val="001136CB"/>
    <w:rsid w:val="001142A5"/>
    <w:rsid w:val="00114B2D"/>
    <w:rsid w:val="001161C9"/>
    <w:rsid w:val="00117719"/>
    <w:rsid w:val="0011779D"/>
    <w:rsid w:val="00117AD6"/>
    <w:rsid w:val="0012009C"/>
    <w:rsid w:val="001209A0"/>
    <w:rsid w:val="001213C2"/>
    <w:rsid w:val="00121780"/>
    <w:rsid w:val="00121F35"/>
    <w:rsid w:val="001222DB"/>
    <w:rsid w:val="00122B81"/>
    <w:rsid w:val="00122D19"/>
    <w:rsid w:val="0012416B"/>
    <w:rsid w:val="001253E0"/>
    <w:rsid w:val="00125477"/>
    <w:rsid w:val="00125F61"/>
    <w:rsid w:val="00126074"/>
    <w:rsid w:val="001266C3"/>
    <w:rsid w:val="00127649"/>
    <w:rsid w:val="001300AD"/>
    <w:rsid w:val="00130439"/>
    <w:rsid w:val="00130C4A"/>
    <w:rsid w:val="00130E9F"/>
    <w:rsid w:val="0013191A"/>
    <w:rsid w:val="00131AFA"/>
    <w:rsid w:val="00132EDE"/>
    <w:rsid w:val="00135F0F"/>
    <w:rsid w:val="001402F6"/>
    <w:rsid w:val="001408F3"/>
    <w:rsid w:val="001412B9"/>
    <w:rsid w:val="001419CC"/>
    <w:rsid w:val="00142022"/>
    <w:rsid w:val="001422B2"/>
    <w:rsid w:val="001423AB"/>
    <w:rsid w:val="00142E95"/>
    <w:rsid w:val="001431E2"/>
    <w:rsid w:val="001434FB"/>
    <w:rsid w:val="001439C2"/>
    <w:rsid w:val="001441C6"/>
    <w:rsid w:val="001448D2"/>
    <w:rsid w:val="001455FA"/>
    <w:rsid w:val="00145773"/>
    <w:rsid w:val="00145C9F"/>
    <w:rsid w:val="00145FCF"/>
    <w:rsid w:val="00146147"/>
    <w:rsid w:val="001462CD"/>
    <w:rsid w:val="0015022B"/>
    <w:rsid w:val="0015029A"/>
    <w:rsid w:val="0015053F"/>
    <w:rsid w:val="001523DA"/>
    <w:rsid w:val="00152932"/>
    <w:rsid w:val="00152993"/>
    <w:rsid w:val="00153588"/>
    <w:rsid w:val="0015494B"/>
    <w:rsid w:val="0015542F"/>
    <w:rsid w:val="00155502"/>
    <w:rsid w:val="00156178"/>
    <w:rsid w:val="00157CEC"/>
    <w:rsid w:val="00160B5C"/>
    <w:rsid w:val="001613E1"/>
    <w:rsid w:val="00161CCC"/>
    <w:rsid w:val="00162BDB"/>
    <w:rsid w:val="00162E35"/>
    <w:rsid w:val="00164941"/>
    <w:rsid w:val="00166286"/>
    <w:rsid w:val="001665DF"/>
    <w:rsid w:val="00167B71"/>
    <w:rsid w:val="00170350"/>
    <w:rsid w:val="0017146B"/>
    <w:rsid w:val="00171BB7"/>
    <w:rsid w:val="00171DDB"/>
    <w:rsid w:val="00172819"/>
    <w:rsid w:val="0017435B"/>
    <w:rsid w:val="00175147"/>
    <w:rsid w:val="001760C4"/>
    <w:rsid w:val="0017685E"/>
    <w:rsid w:val="00176C6A"/>
    <w:rsid w:val="00177462"/>
    <w:rsid w:val="0018226D"/>
    <w:rsid w:val="00182AF2"/>
    <w:rsid w:val="0018397E"/>
    <w:rsid w:val="0018445D"/>
    <w:rsid w:val="00184F0C"/>
    <w:rsid w:val="00186213"/>
    <w:rsid w:val="0018697B"/>
    <w:rsid w:val="001872F0"/>
    <w:rsid w:val="00190C2E"/>
    <w:rsid w:val="0019142C"/>
    <w:rsid w:val="00191CF2"/>
    <w:rsid w:val="00192EE9"/>
    <w:rsid w:val="001939D8"/>
    <w:rsid w:val="0019438F"/>
    <w:rsid w:val="00194BDF"/>
    <w:rsid w:val="001950B8"/>
    <w:rsid w:val="001955BD"/>
    <w:rsid w:val="001A0AF1"/>
    <w:rsid w:val="001A17F7"/>
    <w:rsid w:val="001A1F1F"/>
    <w:rsid w:val="001A24AF"/>
    <w:rsid w:val="001A2C72"/>
    <w:rsid w:val="001A38ED"/>
    <w:rsid w:val="001A415A"/>
    <w:rsid w:val="001A429E"/>
    <w:rsid w:val="001A4AE0"/>
    <w:rsid w:val="001A5368"/>
    <w:rsid w:val="001A5707"/>
    <w:rsid w:val="001A6388"/>
    <w:rsid w:val="001A78C8"/>
    <w:rsid w:val="001A796E"/>
    <w:rsid w:val="001A7D95"/>
    <w:rsid w:val="001B09E3"/>
    <w:rsid w:val="001B1BF2"/>
    <w:rsid w:val="001B2438"/>
    <w:rsid w:val="001B2AD9"/>
    <w:rsid w:val="001B42C4"/>
    <w:rsid w:val="001B4D3C"/>
    <w:rsid w:val="001B6FA7"/>
    <w:rsid w:val="001B7E06"/>
    <w:rsid w:val="001C056C"/>
    <w:rsid w:val="001C0A14"/>
    <w:rsid w:val="001C105D"/>
    <w:rsid w:val="001C1D5E"/>
    <w:rsid w:val="001C2BB5"/>
    <w:rsid w:val="001C41D6"/>
    <w:rsid w:val="001C5AA4"/>
    <w:rsid w:val="001C62BA"/>
    <w:rsid w:val="001C6C0A"/>
    <w:rsid w:val="001C6F81"/>
    <w:rsid w:val="001D0F2D"/>
    <w:rsid w:val="001D1357"/>
    <w:rsid w:val="001D1704"/>
    <w:rsid w:val="001D1987"/>
    <w:rsid w:val="001D1DEA"/>
    <w:rsid w:val="001D3469"/>
    <w:rsid w:val="001D4458"/>
    <w:rsid w:val="001D5187"/>
    <w:rsid w:val="001D5C88"/>
    <w:rsid w:val="001D64CB"/>
    <w:rsid w:val="001D6932"/>
    <w:rsid w:val="001D6F41"/>
    <w:rsid w:val="001D6F93"/>
    <w:rsid w:val="001E0E39"/>
    <w:rsid w:val="001E17FE"/>
    <w:rsid w:val="001E1B11"/>
    <w:rsid w:val="001E1B12"/>
    <w:rsid w:val="001E30C4"/>
    <w:rsid w:val="001E381E"/>
    <w:rsid w:val="001E3E79"/>
    <w:rsid w:val="001E3FE4"/>
    <w:rsid w:val="001E5650"/>
    <w:rsid w:val="001E5FE9"/>
    <w:rsid w:val="001F1235"/>
    <w:rsid w:val="001F1A21"/>
    <w:rsid w:val="001F2456"/>
    <w:rsid w:val="001F247A"/>
    <w:rsid w:val="001F2D54"/>
    <w:rsid w:val="001F30F5"/>
    <w:rsid w:val="001F64B6"/>
    <w:rsid w:val="001F6781"/>
    <w:rsid w:val="001F6E56"/>
    <w:rsid w:val="001F776C"/>
    <w:rsid w:val="002004A7"/>
    <w:rsid w:val="00201275"/>
    <w:rsid w:val="0020141C"/>
    <w:rsid w:val="00203CCC"/>
    <w:rsid w:val="00206E8D"/>
    <w:rsid w:val="00207327"/>
    <w:rsid w:val="00207A7A"/>
    <w:rsid w:val="0021304C"/>
    <w:rsid w:val="00213509"/>
    <w:rsid w:val="00213FB7"/>
    <w:rsid w:val="00214902"/>
    <w:rsid w:val="0021584E"/>
    <w:rsid w:val="00215E65"/>
    <w:rsid w:val="0021614B"/>
    <w:rsid w:val="002171EE"/>
    <w:rsid w:val="002179AA"/>
    <w:rsid w:val="00217A0A"/>
    <w:rsid w:val="00221202"/>
    <w:rsid w:val="00221E57"/>
    <w:rsid w:val="00222F89"/>
    <w:rsid w:val="0022354A"/>
    <w:rsid w:val="00223783"/>
    <w:rsid w:val="0022448F"/>
    <w:rsid w:val="002265B4"/>
    <w:rsid w:val="00227060"/>
    <w:rsid w:val="00227825"/>
    <w:rsid w:val="00227C9D"/>
    <w:rsid w:val="00230194"/>
    <w:rsid w:val="002325D5"/>
    <w:rsid w:val="00232977"/>
    <w:rsid w:val="00233031"/>
    <w:rsid w:val="002349AE"/>
    <w:rsid w:val="00234A45"/>
    <w:rsid w:val="002354D9"/>
    <w:rsid w:val="00235A51"/>
    <w:rsid w:val="00235BFD"/>
    <w:rsid w:val="00236247"/>
    <w:rsid w:val="00242337"/>
    <w:rsid w:val="002429CC"/>
    <w:rsid w:val="002429E3"/>
    <w:rsid w:val="00242A62"/>
    <w:rsid w:val="00243327"/>
    <w:rsid w:val="00243A27"/>
    <w:rsid w:val="00243C88"/>
    <w:rsid w:val="0024427B"/>
    <w:rsid w:val="00246616"/>
    <w:rsid w:val="0024688C"/>
    <w:rsid w:val="00247CF8"/>
    <w:rsid w:val="00250596"/>
    <w:rsid w:val="00250678"/>
    <w:rsid w:val="002517AF"/>
    <w:rsid w:val="002535E4"/>
    <w:rsid w:val="002539E5"/>
    <w:rsid w:val="002548EA"/>
    <w:rsid w:val="0025518C"/>
    <w:rsid w:val="002556EB"/>
    <w:rsid w:val="00256D10"/>
    <w:rsid w:val="002575F4"/>
    <w:rsid w:val="00260737"/>
    <w:rsid w:val="00261CDE"/>
    <w:rsid w:val="0026277B"/>
    <w:rsid w:val="00262840"/>
    <w:rsid w:val="0026297C"/>
    <w:rsid w:val="002636D8"/>
    <w:rsid w:val="0026465F"/>
    <w:rsid w:val="00264C0F"/>
    <w:rsid w:val="00265448"/>
    <w:rsid w:val="00266299"/>
    <w:rsid w:val="00267315"/>
    <w:rsid w:val="0026782C"/>
    <w:rsid w:val="00267C95"/>
    <w:rsid w:val="0027129D"/>
    <w:rsid w:val="00271613"/>
    <w:rsid w:val="002722AF"/>
    <w:rsid w:val="002725E4"/>
    <w:rsid w:val="002730C0"/>
    <w:rsid w:val="00274031"/>
    <w:rsid w:val="0027558D"/>
    <w:rsid w:val="002770D3"/>
    <w:rsid w:val="00277204"/>
    <w:rsid w:val="0028266E"/>
    <w:rsid w:val="00283F1E"/>
    <w:rsid w:val="0028590F"/>
    <w:rsid w:val="00286411"/>
    <w:rsid w:val="00286DC4"/>
    <w:rsid w:val="00287526"/>
    <w:rsid w:val="002875E1"/>
    <w:rsid w:val="00287AF5"/>
    <w:rsid w:val="0029111E"/>
    <w:rsid w:val="00292DC3"/>
    <w:rsid w:val="00294156"/>
    <w:rsid w:val="0029445C"/>
    <w:rsid w:val="00294D10"/>
    <w:rsid w:val="00295B41"/>
    <w:rsid w:val="00296058"/>
    <w:rsid w:val="00297212"/>
    <w:rsid w:val="00297544"/>
    <w:rsid w:val="002A0F6B"/>
    <w:rsid w:val="002A1355"/>
    <w:rsid w:val="002A152F"/>
    <w:rsid w:val="002A1C33"/>
    <w:rsid w:val="002A28E9"/>
    <w:rsid w:val="002A4E57"/>
    <w:rsid w:val="002A5CF9"/>
    <w:rsid w:val="002B0474"/>
    <w:rsid w:val="002B2664"/>
    <w:rsid w:val="002B2AAE"/>
    <w:rsid w:val="002B4012"/>
    <w:rsid w:val="002B463B"/>
    <w:rsid w:val="002B5177"/>
    <w:rsid w:val="002B5C1C"/>
    <w:rsid w:val="002B5E0E"/>
    <w:rsid w:val="002C08C1"/>
    <w:rsid w:val="002C2FBB"/>
    <w:rsid w:val="002C3A30"/>
    <w:rsid w:val="002C410A"/>
    <w:rsid w:val="002C5075"/>
    <w:rsid w:val="002C56BE"/>
    <w:rsid w:val="002C61A6"/>
    <w:rsid w:val="002C61C1"/>
    <w:rsid w:val="002C628C"/>
    <w:rsid w:val="002C6972"/>
    <w:rsid w:val="002C7368"/>
    <w:rsid w:val="002C73F9"/>
    <w:rsid w:val="002C7662"/>
    <w:rsid w:val="002C79F5"/>
    <w:rsid w:val="002D03F1"/>
    <w:rsid w:val="002D184B"/>
    <w:rsid w:val="002D1CDE"/>
    <w:rsid w:val="002D3B7C"/>
    <w:rsid w:val="002D513D"/>
    <w:rsid w:val="002D5B99"/>
    <w:rsid w:val="002D64C0"/>
    <w:rsid w:val="002D6934"/>
    <w:rsid w:val="002E07BD"/>
    <w:rsid w:val="002E0E82"/>
    <w:rsid w:val="002E153B"/>
    <w:rsid w:val="002E1ABB"/>
    <w:rsid w:val="002E1D0E"/>
    <w:rsid w:val="002E2AE5"/>
    <w:rsid w:val="002E58FE"/>
    <w:rsid w:val="002F3D2B"/>
    <w:rsid w:val="002F52F7"/>
    <w:rsid w:val="002F5A4F"/>
    <w:rsid w:val="002F607B"/>
    <w:rsid w:val="002F6217"/>
    <w:rsid w:val="002F64F1"/>
    <w:rsid w:val="002F719E"/>
    <w:rsid w:val="003003DC"/>
    <w:rsid w:val="0030081D"/>
    <w:rsid w:val="003029B6"/>
    <w:rsid w:val="00305797"/>
    <w:rsid w:val="0030583B"/>
    <w:rsid w:val="00305A8E"/>
    <w:rsid w:val="003062AF"/>
    <w:rsid w:val="0030665B"/>
    <w:rsid w:val="0030697D"/>
    <w:rsid w:val="0030698D"/>
    <w:rsid w:val="0030702D"/>
    <w:rsid w:val="0030757B"/>
    <w:rsid w:val="0031033B"/>
    <w:rsid w:val="0031048C"/>
    <w:rsid w:val="0031055B"/>
    <w:rsid w:val="00310BED"/>
    <w:rsid w:val="0031130E"/>
    <w:rsid w:val="003114AD"/>
    <w:rsid w:val="003116D0"/>
    <w:rsid w:val="003117F0"/>
    <w:rsid w:val="003117F8"/>
    <w:rsid w:val="00311F0F"/>
    <w:rsid w:val="003122FF"/>
    <w:rsid w:val="0031291A"/>
    <w:rsid w:val="00313F4F"/>
    <w:rsid w:val="00314327"/>
    <w:rsid w:val="00314CCB"/>
    <w:rsid w:val="00315450"/>
    <w:rsid w:val="00315DFC"/>
    <w:rsid w:val="003176BF"/>
    <w:rsid w:val="00317C68"/>
    <w:rsid w:val="00317D15"/>
    <w:rsid w:val="0032133C"/>
    <w:rsid w:val="00321677"/>
    <w:rsid w:val="003219C2"/>
    <w:rsid w:val="00321FA6"/>
    <w:rsid w:val="0032233D"/>
    <w:rsid w:val="00322D02"/>
    <w:rsid w:val="00322F36"/>
    <w:rsid w:val="0032302B"/>
    <w:rsid w:val="00323042"/>
    <w:rsid w:val="00325008"/>
    <w:rsid w:val="003257CC"/>
    <w:rsid w:val="00326400"/>
    <w:rsid w:val="0032642C"/>
    <w:rsid w:val="0033001B"/>
    <w:rsid w:val="003305E6"/>
    <w:rsid w:val="0033138B"/>
    <w:rsid w:val="003326DF"/>
    <w:rsid w:val="0033365A"/>
    <w:rsid w:val="00333891"/>
    <w:rsid w:val="00334837"/>
    <w:rsid w:val="00335314"/>
    <w:rsid w:val="00335663"/>
    <w:rsid w:val="003357FA"/>
    <w:rsid w:val="003360DF"/>
    <w:rsid w:val="00336F3E"/>
    <w:rsid w:val="00340C4D"/>
    <w:rsid w:val="00340C78"/>
    <w:rsid w:val="0034142A"/>
    <w:rsid w:val="00342991"/>
    <w:rsid w:val="003430E5"/>
    <w:rsid w:val="0034322D"/>
    <w:rsid w:val="003434D1"/>
    <w:rsid w:val="00345C16"/>
    <w:rsid w:val="00346294"/>
    <w:rsid w:val="00347015"/>
    <w:rsid w:val="003472B6"/>
    <w:rsid w:val="0035065B"/>
    <w:rsid w:val="00351BCD"/>
    <w:rsid w:val="00352A29"/>
    <w:rsid w:val="00352A2F"/>
    <w:rsid w:val="00352E9D"/>
    <w:rsid w:val="00353589"/>
    <w:rsid w:val="00354F01"/>
    <w:rsid w:val="003553D7"/>
    <w:rsid w:val="003562CE"/>
    <w:rsid w:val="00356887"/>
    <w:rsid w:val="00357414"/>
    <w:rsid w:val="003600A2"/>
    <w:rsid w:val="00362DBD"/>
    <w:rsid w:val="00363FB9"/>
    <w:rsid w:val="0036475D"/>
    <w:rsid w:val="00365540"/>
    <w:rsid w:val="003664AC"/>
    <w:rsid w:val="00366C64"/>
    <w:rsid w:val="00366DB9"/>
    <w:rsid w:val="00367B13"/>
    <w:rsid w:val="0037100A"/>
    <w:rsid w:val="00372324"/>
    <w:rsid w:val="00372635"/>
    <w:rsid w:val="00374C47"/>
    <w:rsid w:val="00374FDC"/>
    <w:rsid w:val="003764CE"/>
    <w:rsid w:val="0037676A"/>
    <w:rsid w:val="003769E8"/>
    <w:rsid w:val="0037795D"/>
    <w:rsid w:val="00377DEA"/>
    <w:rsid w:val="00380248"/>
    <w:rsid w:val="003807F3"/>
    <w:rsid w:val="00381381"/>
    <w:rsid w:val="0038390E"/>
    <w:rsid w:val="00384667"/>
    <w:rsid w:val="00384C2E"/>
    <w:rsid w:val="00385425"/>
    <w:rsid w:val="0038543C"/>
    <w:rsid w:val="00385743"/>
    <w:rsid w:val="00386BB7"/>
    <w:rsid w:val="00387B54"/>
    <w:rsid w:val="00387F2D"/>
    <w:rsid w:val="00390F18"/>
    <w:rsid w:val="00391A9E"/>
    <w:rsid w:val="00392F10"/>
    <w:rsid w:val="00392FF2"/>
    <w:rsid w:val="003939BD"/>
    <w:rsid w:val="00394D72"/>
    <w:rsid w:val="00394F1C"/>
    <w:rsid w:val="003968FB"/>
    <w:rsid w:val="00397F8C"/>
    <w:rsid w:val="003A04B3"/>
    <w:rsid w:val="003A061D"/>
    <w:rsid w:val="003A06A0"/>
    <w:rsid w:val="003A190E"/>
    <w:rsid w:val="003A19A7"/>
    <w:rsid w:val="003A1FBD"/>
    <w:rsid w:val="003A2440"/>
    <w:rsid w:val="003A3BD9"/>
    <w:rsid w:val="003A3F58"/>
    <w:rsid w:val="003A453F"/>
    <w:rsid w:val="003A4BFA"/>
    <w:rsid w:val="003A4EC0"/>
    <w:rsid w:val="003A4F0E"/>
    <w:rsid w:val="003A5573"/>
    <w:rsid w:val="003A5DA8"/>
    <w:rsid w:val="003A5EDE"/>
    <w:rsid w:val="003A7EEA"/>
    <w:rsid w:val="003B04E5"/>
    <w:rsid w:val="003B0C08"/>
    <w:rsid w:val="003B10E1"/>
    <w:rsid w:val="003B1A37"/>
    <w:rsid w:val="003B223C"/>
    <w:rsid w:val="003B2336"/>
    <w:rsid w:val="003B3142"/>
    <w:rsid w:val="003B3931"/>
    <w:rsid w:val="003B5A20"/>
    <w:rsid w:val="003B799A"/>
    <w:rsid w:val="003C05DF"/>
    <w:rsid w:val="003C0DD0"/>
    <w:rsid w:val="003C185A"/>
    <w:rsid w:val="003C4E97"/>
    <w:rsid w:val="003C52D0"/>
    <w:rsid w:val="003C599A"/>
    <w:rsid w:val="003C6C20"/>
    <w:rsid w:val="003C6D24"/>
    <w:rsid w:val="003C70D8"/>
    <w:rsid w:val="003C74AD"/>
    <w:rsid w:val="003C7862"/>
    <w:rsid w:val="003D03A0"/>
    <w:rsid w:val="003D12AD"/>
    <w:rsid w:val="003D28C2"/>
    <w:rsid w:val="003D2AF0"/>
    <w:rsid w:val="003D44FD"/>
    <w:rsid w:val="003D4FE4"/>
    <w:rsid w:val="003D6022"/>
    <w:rsid w:val="003D6A37"/>
    <w:rsid w:val="003D707A"/>
    <w:rsid w:val="003E0B22"/>
    <w:rsid w:val="003E0BF3"/>
    <w:rsid w:val="003E1533"/>
    <w:rsid w:val="003E2025"/>
    <w:rsid w:val="003E43DA"/>
    <w:rsid w:val="003E44BE"/>
    <w:rsid w:val="003E4EC7"/>
    <w:rsid w:val="003E789F"/>
    <w:rsid w:val="003F103A"/>
    <w:rsid w:val="003F1568"/>
    <w:rsid w:val="003F1657"/>
    <w:rsid w:val="003F2658"/>
    <w:rsid w:val="003F339C"/>
    <w:rsid w:val="003F3C39"/>
    <w:rsid w:val="003F5876"/>
    <w:rsid w:val="003F6695"/>
    <w:rsid w:val="003F7060"/>
    <w:rsid w:val="003F7CC7"/>
    <w:rsid w:val="00400550"/>
    <w:rsid w:val="004016AA"/>
    <w:rsid w:val="004018E6"/>
    <w:rsid w:val="00402A05"/>
    <w:rsid w:val="00402E38"/>
    <w:rsid w:val="00402FA0"/>
    <w:rsid w:val="004030C0"/>
    <w:rsid w:val="00403B05"/>
    <w:rsid w:val="00404266"/>
    <w:rsid w:val="004049D9"/>
    <w:rsid w:val="00404F60"/>
    <w:rsid w:val="00405516"/>
    <w:rsid w:val="004056A5"/>
    <w:rsid w:val="00406161"/>
    <w:rsid w:val="00406284"/>
    <w:rsid w:val="0040634B"/>
    <w:rsid w:val="00407AC5"/>
    <w:rsid w:val="00410A1C"/>
    <w:rsid w:val="0041184A"/>
    <w:rsid w:val="00412C9E"/>
    <w:rsid w:val="00414492"/>
    <w:rsid w:val="00415958"/>
    <w:rsid w:val="00416929"/>
    <w:rsid w:val="00416A32"/>
    <w:rsid w:val="00420E50"/>
    <w:rsid w:val="0042168A"/>
    <w:rsid w:val="00423400"/>
    <w:rsid w:val="0042353E"/>
    <w:rsid w:val="0042359B"/>
    <w:rsid w:val="00423F08"/>
    <w:rsid w:val="00425397"/>
    <w:rsid w:val="00426E6E"/>
    <w:rsid w:val="004274BB"/>
    <w:rsid w:val="004315BE"/>
    <w:rsid w:val="0043381E"/>
    <w:rsid w:val="00433AEA"/>
    <w:rsid w:val="004343CD"/>
    <w:rsid w:val="00434482"/>
    <w:rsid w:val="004362AC"/>
    <w:rsid w:val="00440650"/>
    <w:rsid w:val="00440A1B"/>
    <w:rsid w:val="0044132F"/>
    <w:rsid w:val="0044259E"/>
    <w:rsid w:val="004433DE"/>
    <w:rsid w:val="004439A4"/>
    <w:rsid w:val="00443F7F"/>
    <w:rsid w:val="004442E9"/>
    <w:rsid w:val="0044454C"/>
    <w:rsid w:val="00445947"/>
    <w:rsid w:val="00445C3F"/>
    <w:rsid w:val="00445EFF"/>
    <w:rsid w:val="004465FC"/>
    <w:rsid w:val="00446FCF"/>
    <w:rsid w:val="00447ED7"/>
    <w:rsid w:val="00450B0B"/>
    <w:rsid w:val="00450B9E"/>
    <w:rsid w:val="00450EDA"/>
    <w:rsid w:val="00450EF2"/>
    <w:rsid w:val="00451A58"/>
    <w:rsid w:val="00451B3D"/>
    <w:rsid w:val="00452F5B"/>
    <w:rsid w:val="004538B6"/>
    <w:rsid w:val="00457C40"/>
    <w:rsid w:val="00457E53"/>
    <w:rsid w:val="0046048A"/>
    <w:rsid w:val="00460FC1"/>
    <w:rsid w:val="004625CA"/>
    <w:rsid w:val="00463797"/>
    <w:rsid w:val="00463D67"/>
    <w:rsid w:val="00465484"/>
    <w:rsid w:val="004663A4"/>
    <w:rsid w:val="00466455"/>
    <w:rsid w:val="004677BD"/>
    <w:rsid w:val="00467856"/>
    <w:rsid w:val="0047012D"/>
    <w:rsid w:val="0047034F"/>
    <w:rsid w:val="004704F2"/>
    <w:rsid w:val="00470BE2"/>
    <w:rsid w:val="00472B71"/>
    <w:rsid w:val="00473400"/>
    <w:rsid w:val="0047341B"/>
    <w:rsid w:val="004737C1"/>
    <w:rsid w:val="00473B0A"/>
    <w:rsid w:val="0047560B"/>
    <w:rsid w:val="00475A24"/>
    <w:rsid w:val="00475E07"/>
    <w:rsid w:val="00477730"/>
    <w:rsid w:val="00477B24"/>
    <w:rsid w:val="00477E59"/>
    <w:rsid w:val="00477F43"/>
    <w:rsid w:val="00480145"/>
    <w:rsid w:val="0048077B"/>
    <w:rsid w:val="004809C7"/>
    <w:rsid w:val="0048309E"/>
    <w:rsid w:val="00483249"/>
    <w:rsid w:val="00483333"/>
    <w:rsid w:val="00483418"/>
    <w:rsid w:val="0048465B"/>
    <w:rsid w:val="0048653A"/>
    <w:rsid w:val="00486FD6"/>
    <w:rsid w:val="00487241"/>
    <w:rsid w:val="00487A3A"/>
    <w:rsid w:val="00487A92"/>
    <w:rsid w:val="004903E8"/>
    <w:rsid w:val="00490C6B"/>
    <w:rsid w:val="004910B0"/>
    <w:rsid w:val="004927BB"/>
    <w:rsid w:val="004929DF"/>
    <w:rsid w:val="00492B0E"/>
    <w:rsid w:val="00493D34"/>
    <w:rsid w:val="00493FB4"/>
    <w:rsid w:val="00494046"/>
    <w:rsid w:val="0049437C"/>
    <w:rsid w:val="00495840"/>
    <w:rsid w:val="0049791D"/>
    <w:rsid w:val="00497A7A"/>
    <w:rsid w:val="00497EFB"/>
    <w:rsid w:val="004A01D1"/>
    <w:rsid w:val="004A071E"/>
    <w:rsid w:val="004A0BB0"/>
    <w:rsid w:val="004A0EFA"/>
    <w:rsid w:val="004A2408"/>
    <w:rsid w:val="004A2B0C"/>
    <w:rsid w:val="004A2B5C"/>
    <w:rsid w:val="004A2B81"/>
    <w:rsid w:val="004A2D03"/>
    <w:rsid w:val="004A2E6C"/>
    <w:rsid w:val="004A31C4"/>
    <w:rsid w:val="004A34D9"/>
    <w:rsid w:val="004A3625"/>
    <w:rsid w:val="004A3F0F"/>
    <w:rsid w:val="004A4AB6"/>
    <w:rsid w:val="004A4BEF"/>
    <w:rsid w:val="004A4D59"/>
    <w:rsid w:val="004A6124"/>
    <w:rsid w:val="004A6564"/>
    <w:rsid w:val="004A6B13"/>
    <w:rsid w:val="004A6B17"/>
    <w:rsid w:val="004A7149"/>
    <w:rsid w:val="004A71C7"/>
    <w:rsid w:val="004A7865"/>
    <w:rsid w:val="004B03A1"/>
    <w:rsid w:val="004B052E"/>
    <w:rsid w:val="004B0830"/>
    <w:rsid w:val="004B0B82"/>
    <w:rsid w:val="004B170E"/>
    <w:rsid w:val="004B2E00"/>
    <w:rsid w:val="004B44B7"/>
    <w:rsid w:val="004B5166"/>
    <w:rsid w:val="004B5493"/>
    <w:rsid w:val="004B59A9"/>
    <w:rsid w:val="004B5F9B"/>
    <w:rsid w:val="004B7F90"/>
    <w:rsid w:val="004C0182"/>
    <w:rsid w:val="004C06E4"/>
    <w:rsid w:val="004C1F55"/>
    <w:rsid w:val="004C2FE0"/>
    <w:rsid w:val="004C50D8"/>
    <w:rsid w:val="004C5AB0"/>
    <w:rsid w:val="004C7355"/>
    <w:rsid w:val="004C7F1A"/>
    <w:rsid w:val="004D1725"/>
    <w:rsid w:val="004D29A8"/>
    <w:rsid w:val="004D3284"/>
    <w:rsid w:val="004D39E2"/>
    <w:rsid w:val="004D3A40"/>
    <w:rsid w:val="004D51A7"/>
    <w:rsid w:val="004D5F7C"/>
    <w:rsid w:val="004D61FB"/>
    <w:rsid w:val="004D630F"/>
    <w:rsid w:val="004D7F03"/>
    <w:rsid w:val="004E01AB"/>
    <w:rsid w:val="004E05E8"/>
    <w:rsid w:val="004E1534"/>
    <w:rsid w:val="004E1ED6"/>
    <w:rsid w:val="004E2CE2"/>
    <w:rsid w:val="004E31CD"/>
    <w:rsid w:val="004E3221"/>
    <w:rsid w:val="004E3EE5"/>
    <w:rsid w:val="004E489E"/>
    <w:rsid w:val="004E50EA"/>
    <w:rsid w:val="004E5829"/>
    <w:rsid w:val="004E6302"/>
    <w:rsid w:val="004F14D0"/>
    <w:rsid w:val="004F2465"/>
    <w:rsid w:val="004F2861"/>
    <w:rsid w:val="004F4056"/>
    <w:rsid w:val="004F45CD"/>
    <w:rsid w:val="004F54B5"/>
    <w:rsid w:val="004F5F71"/>
    <w:rsid w:val="00502D22"/>
    <w:rsid w:val="005033E0"/>
    <w:rsid w:val="0050417D"/>
    <w:rsid w:val="00506FE7"/>
    <w:rsid w:val="00511975"/>
    <w:rsid w:val="005129F4"/>
    <w:rsid w:val="00512BB8"/>
    <w:rsid w:val="00514C11"/>
    <w:rsid w:val="005155DD"/>
    <w:rsid w:val="00515AD2"/>
    <w:rsid w:val="00516CA7"/>
    <w:rsid w:val="005174ED"/>
    <w:rsid w:val="0052156B"/>
    <w:rsid w:val="005237A0"/>
    <w:rsid w:val="00523D5F"/>
    <w:rsid w:val="00524018"/>
    <w:rsid w:val="00525266"/>
    <w:rsid w:val="00525298"/>
    <w:rsid w:val="00525697"/>
    <w:rsid w:val="00533CDD"/>
    <w:rsid w:val="005344A2"/>
    <w:rsid w:val="005344AB"/>
    <w:rsid w:val="00534709"/>
    <w:rsid w:val="00534F74"/>
    <w:rsid w:val="00535694"/>
    <w:rsid w:val="00535804"/>
    <w:rsid w:val="00535A91"/>
    <w:rsid w:val="00536293"/>
    <w:rsid w:val="00536746"/>
    <w:rsid w:val="00536C24"/>
    <w:rsid w:val="00537E5C"/>
    <w:rsid w:val="00541CF0"/>
    <w:rsid w:val="00543046"/>
    <w:rsid w:val="00546C12"/>
    <w:rsid w:val="005472C9"/>
    <w:rsid w:val="00550276"/>
    <w:rsid w:val="00550A2E"/>
    <w:rsid w:val="00552756"/>
    <w:rsid w:val="005538AF"/>
    <w:rsid w:val="00554889"/>
    <w:rsid w:val="00554BCD"/>
    <w:rsid w:val="0055540D"/>
    <w:rsid w:val="005567B5"/>
    <w:rsid w:val="00556B0C"/>
    <w:rsid w:val="00561FC3"/>
    <w:rsid w:val="00562324"/>
    <w:rsid w:val="005647FA"/>
    <w:rsid w:val="00564F28"/>
    <w:rsid w:val="0056559B"/>
    <w:rsid w:val="00565948"/>
    <w:rsid w:val="00566056"/>
    <w:rsid w:val="005670F0"/>
    <w:rsid w:val="00573121"/>
    <w:rsid w:val="00573427"/>
    <w:rsid w:val="005736D1"/>
    <w:rsid w:val="0057426D"/>
    <w:rsid w:val="00574EEF"/>
    <w:rsid w:val="00575CE7"/>
    <w:rsid w:val="00575D0F"/>
    <w:rsid w:val="005762A3"/>
    <w:rsid w:val="00583767"/>
    <w:rsid w:val="00583E5B"/>
    <w:rsid w:val="00584832"/>
    <w:rsid w:val="00584F54"/>
    <w:rsid w:val="00585C73"/>
    <w:rsid w:val="00585FCC"/>
    <w:rsid w:val="00587AA5"/>
    <w:rsid w:val="00587D23"/>
    <w:rsid w:val="00590F79"/>
    <w:rsid w:val="005918E6"/>
    <w:rsid w:val="00592C87"/>
    <w:rsid w:val="00592D91"/>
    <w:rsid w:val="00593397"/>
    <w:rsid w:val="005948B1"/>
    <w:rsid w:val="0059538E"/>
    <w:rsid w:val="005977E9"/>
    <w:rsid w:val="00597AFF"/>
    <w:rsid w:val="005A0F89"/>
    <w:rsid w:val="005A104F"/>
    <w:rsid w:val="005A1133"/>
    <w:rsid w:val="005A1B2B"/>
    <w:rsid w:val="005A3A65"/>
    <w:rsid w:val="005A3CD3"/>
    <w:rsid w:val="005A4603"/>
    <w:rsid w:val="005A4850"/>
    <w:rsid w:val="005A545B"/>
    <w:rsid w:val="005A568E"/>
    <w:rsid w:val="005A5B50"/>
    <w:rsid w:val="005A669F"/>
    <w:rsid w:val="005A6AD5"/>
    <w:rsid w:val="005A6C00"/>
    <w:rsid w:val="005A704F"/>
    <w:rsid w:val="005A7142"/>
    <w:rsid w:val="005B0FC4"/>
    <w:rsid w:val="005B1A16"/>
    <w:rsid w:val="005B1F0F"/>
    <w:rsid w:val="005B2907"/>
    <w:rsid w:val="005B3189"/>
    <w:rsid w:val="005B3F71"/>
    <w:rsid w:val="005B50A5"/>
    <w:rsid w:val="005B5B72"/>
    <w:rsid w:val="005B7431"/>
    <w:rsid w:val="005B7982"/>
    <w:rsid w:val="005B7ACB"/>
    <w:rsid w:val="005C061E"/>
    <w:rsid w:val="005C08BD"/>
    <w:rsid w:val="005C0D0B"/>
    <w:rsid w:val="005C1129"/>
    <w:rsid w:val="005C17C0"/>
    <w:rsid w:val="005C1C18"/>
    <w:rsid w:val="005C2298"/>
    <w:rsid w:val="005C303E"/>
    <w:rsid w:val="005C394F"/>
    <w:rsid w:val="005C4286"/>
    <w:rsid w:val="005C58DB"/>
    <w:rsid w:val="005C7DF7"/>
    <w:rsid w:val="005D081A"/>
    <w:rsid w:val="005D2880"/>
    <w:rsid w:val="005D3119"/>
    <w:rsid w:val="005D31AA"/>
    <w:rsid w:val="005D31EF"/>
    <w:rsid w:val="005D3DCB"/>
    <w:rsid w:val="005D53E6"/>
    <w:rsid w:val="005D59E8"/>
    <w:rsid w:val="005D5CEA"/>
    <w:rsid w:val="005D6BF5"/>
    <w:rsid w:val="005D7009"/>
    <w:rsid w:val="005D70B4"/>
    <w:rsid w:val="005E0AFA"/>
    <w:rsid w:val="005E1309"/>
    <w:rsid w:val="005E17CE"/>
    <w:rsid w:val="005E1935"/>
    <w:rsid w:val="005E1BD0"/>
    <w:rsid w:val="005E1BDE"/>
    <w:rsid w:val="005E3B02"/>
    <w:rsid w:val="005E470F"/>
    <w:rsid w:val="005E4E2F"/>
    <w:rsid w:val="005E52A5"/>
    <w:rsid w:val="005E52AF"/>
    <w:rsid w:val="005E5423"/>
    <w:rsid w:val="005E57F9"/>
    <w:rsid w:val="005E6F66"/>
    <w:rsid w:val="005E745F"/>
    <w:rsid w:val="005E7EDD"/>
    <w:rsid w:val="005F0679"/>
    <w:rsid w:val="005F0682"/>
    <w:rsid w:val="005F0AC2"/>
    <w:rsid w:val="005F0CEC"/>
    <w:rsid w:val="005F13EC"/>
    <w:rsid w:val="005F14DF"/>
    <w:rsid w:val="005F23F1"/>
    <w:rsid w:val="005F2CD7"/>
    <w:rsid w:val="005F3159"/>
    <w:rsid w:val="005F33ED"/>
    <w:rsid w:val="005F490B"/>
    <w:rsid w:val="005F56CA"/>
    <w:rsid w:val="005F5F6F"/>
    <w:rsid w:val="005F73C8"/>
    <w:rsid w:val="005F7C93"/>
    <w:rsid w:val="0060036C"/>
    <w:rsid w:val="00600F2E"/>
    <w:rsid w:val="00601C67"/>
    <w:rsid w:val="006025A2"/>
    <w:rsid w:val="00602E75"/>
    <w:rsid w:val="0060353C"/>
    <w:rsid w:val="00603C41"/>
    <w:rsid w:val="006068C4"/>
    <w:rsid w:val="00607EAD"/>
    <w:rsid w:val="00611896"/>
    <w:rsid w:val="0061233B"/>
    <w:rsid w:val="00614A34"/>
    <w:rsid w:val="00614F80"/>
    <w:rsid w:val="0061530B"/>
    <w:rsid w:val="00615347"/>
    <w:rsid w:val="0061566A"/>
    <w:rsid w:val="00616870"/>
    <w:rsid w:val="00617CF4"/>
    <w:rsid w:val="00621BCF"/>
    <w:rsid w:val="00622663"/>
    <w:rsid w:val="00622873"/>
    <w:rsid w:val="00624868"/>
    <w:rsid w:val="0062560A"/>
    <w:rsid w:val="00626123"/>
    <w:rsid w:val="00626CEF"/>
    <w:rsid w:val="00630347"/>
    <w:rsid w:val="0063052E"/>
    <w:rsid w:val="00630912"/>
    <w:rsid w:val="00632C9F"/>
    <w:rsid w:val="00633BA3"/>
    <w:rsid w:val="00633EB8"/>
    <w:rsid w:val="00635D01"/>
    <w:rsid w:val="00635D70"/>
    <w:rsid w:val="00636159"/>
    <w:rsid w:val="0063706C"/>
    <w:rsid w:val="006370E9"/>
    <w:rsid w:val="006416EC"/>
    <w:rsid w:val="006429D2"/>
    <w:rsid w:val="0064329B"/>
    <w:rsid w:val="006435F8"/>
    <w:rsid w:val="00643B31"/>
    <w:rsid w:val="00644740"/>
    <w:rsid w:val="00644CF6"/>
    <w:rsid w:val="00645C11"/>
    <w:rsid w:val="00645EDA"/>
    <w:rsid w:val="0064645D"/>
    <w:rsid w:val="00647670"/>
    <w:rsid w:val="00650C28"/>
    <w:rsid w:val="00650F54"/>
    <w:rsid w:val="0065269D"/>
    <w:rsid w:val="006546D8"/>
    <w:rsid w:val="00654E5B"/>
    <w:rsid w:val="00656077"/>
    <w:rsid w:val="00656847"/>
    <w:rsid w:val="00656DDE"/>
    <w:rsid w:val="00657576"/>
    <w:rsid w:val="00657898"/>
    <w:rsid w:val="006601F7"/>
    <w:rsid w:val="006603B3"/>
    <w:rsid w:val="00660B43"/>
    <w:rsid w:val="00660FF1"/>
    <w:rsid w:val="006611AA"/>
    <w:rsid w:val="006629F7"/>
    <w:rsid w:val="00662CB8"/>
    <w:rsid w:val="00663217"/>
    <w:rsid w:val="0066399B"/>
    <w:rsid w:val="00663E6A"/>
    <w:rsid w:val="00663EE1"/>
    <w:rsid w:val="006647DE"/>
    <w:rsid w:val="006659CB"/>
    <w:rsid w:val="00666043"/>
    <w:rsid w:val="00666E42"/>
    <w:rsid w:val="00667DE7"/>
    <w:rsid w:val="00671FFE"/>
    <w:rsid w:val="00672420"/>
    <w:rsid w:val="006725A2"/>
    <w:rsid w:val="00673401"/>
    <w:rsid w:val="00673408"/>
    <w:rsid w:val="00673DB2"/>
    <w:rsid w:val="006743B1"/>
    <w:rsid w:val="00674522"/>
    <w:rsid w:val="006747BD"/>
    <w:rsid w:val="006749AF"/>
    <w:rsid w:val="00675068"/>
    <w:rsid w:val="006752A1"/>
    <w:rsid w:val="00677562"/>
    <w:rsid w:val="00677979"/>
    <w:rsid w:val="00681F93"/>
    <w:rsid w:val="006826CC"/>
    <w:rsid w:val="00682EA0"/>
    <w:rsid w:val="00683040"/>
    <w:rsid w:val="0068369E"/>
    <w:rsid w:val="006839C4"/>
    <w:rsid w:val="006847BB"/>
    <w:rsid w:val="0068712F"/>
    <w:rsid w:val="00691094"/>
    <w:rsid w:val="006913A2"/>
    <w:rsid w:val="006913C0"/>
    <w:rsid w:val="0069312F"/>
    <w:rsid w:val="006954E2"/>
    <w:rsid w:val="00695E2E"/>
    <w:rsid w:val="0069603A"/>
    <w:rsid w:val="006966E9"/>
    <w:rsid w:val="00697802"/>
    <w:rsid w:val="00697ABF"/>
    <w:rsid w:val="006A19AC"/>
    <w:rsid w:val="006A1D67"/>
    <w:rsid w:val="006A34FB"/>
    <w:rsid w:val="006A3986"/>
    <w:rsid w:val="006A39A8"/>
    <w:rsid w:val="006A447C"/>
    <w:rsid w:val="006A4D1A"/>
    <w:rsid w:val="006A7BBC"/>
    <w:rsid w:val="006B1275"/>
    <w:rsid w:val="006B1AB2"/>
    <w:rsid w:val="006B1C9E"/>
    <w:rsid w:val="006B1EFA"/>
    <w:rsid w:val="006B2158"/>
    <w:rsid w:val="006B2CCC"/>
    <w:rsid w:val="006B32FF"/>
    <w:rsid w:val="006B4B15"/>
    <w:rsid w:val="006B5177"/>
    <w:rsid w:val="006B5B06"/>
    <w:rsid w:val="006B71C3"/>
    <w:rsid w:val="006B75AC"/>
    <w:rsid w:val="006B79F3"/>
    <w:rsid w:val="006B7FBA"/>
    <w:rsid w:val="006C0033"/>
    <w:rsid w:val="006C02D1"/>
    <w:rsid w:val="006C1ADF"/>
    <w:rsid w:val="006C1EED"/>
    <w:rsid w:val="006C21D0"/>
    <w:rsid w:val="006C22E5"/>
    <w:rsid w:val="006C2810"/>
    <w:rsid w:val="006C51BC"/>
    <w:rsid w:val="006C6532"/>
    <w:rsid w:val="006C653E"/>
    <w:rsid w:val="006C65D8"/>
    <w:rsid w:val="006C6AB2"/>
    <w:rsid w:val="006D0061"/>
    <w:rsid w:val="006D0488"/>
    <w:rsid w:val="006D231A"/>
    <w:rsid w:val="006D24B0"/>
    <w:rsid w:val="006D371C"/>
    <w:rsid w:val="006D4C07"/>
    <w:rsid w:val="006D542C"/>
    <w:rsid w:val="006D553E"/>
    <w:rsid w:val="006D5D93"/>
    <w:rsid w:val="006D746C"/>
    <w:rsid w:val="006D7A89"/>
    <w:rsid w:val="006D7FC8"/>
    <w:rsid w:val="006E0539"/>
    <w:rsid w:val="006E162F"/>
    <w:rsid w:val="006E21A0"/>
    <w:rsid w:val="006E2CED"/>
    <w:rsid w:val="006E307E"/>
    <w:rsid w:val="006E49BF"/>
    <w:rsid w:val="006E4AE1"/>
    <w:rsid w:val="006E4C45"/>
    <w:rsid w:val="006E5EB9"/>
    <w:rsid w:val="006E684B"/>
    <w:rsid w:val="006F16CF"/>
    <w:rsid w:val="006F29B0"/>
    <w:rsid w:val="006F2A72"/>
    <w:rsid w:val="006F2E53"/>
    <w:rsid w:val="006F30F1"/>
    <w:rsid w:val="006F3849"/>
    <w:rsid w:val="006F3E3E"/>
    <w:rsid w:val="006F56F3"/>
    <w:rsid w:val="006F5E6A"/>
    <w:rsid w:val="006F7F12"/>
    <w:rsid w:val="00700ACE"/>
    <w:rsid w:val="0070158F"/>
    <w:rsid w:val="00702346"/>
    <w:rsid w:val="007033BD"/>
    <w:rsid w:val="00705713"/>
    <w:rsid w:val="00705B7C"/>
    <w:rsid w:val="007064A8"/>
    <w:rsid w:val="007070BC"/>
    <w:rsid w:val="00707CD2"/>
    <w:rsid w:val="007119B8"/>
    <w:rsid w:val="00712141"/>
    <w:rsid w:val="007122C4"/>
    <w:rsid w:val="00712AAB"/>
    <w:rsid w:val="00714287"/>
    <w:rsid w:val="00714E64"/>
    <w:rsid w:val="00715BD6"/>
    <w:rsid w:val="0071698B"/>
    <w:rsid w:val="00720CCC"/>
    <w:rsid w:val="00720FFF"/>
    <w:rsid w:val="007211D8"/>
    <w:rsid w:val="00721A07"/>
    <w:rsid w:val="00722086"/>
    <w:rsid w:val="00723F75"/>
    <w:rsid w:val="007246E0"/>
    <w:rsid w:val="00725569"/>
    <w:rsid w:val="007269E1"/>
    <w:rsid w:val="00726AD9"/>
    <w:rsid w:val="007274DA"/>
    <w:rsid w:val="00727847"/>
    <w:rsid w:val="00730BBA"/>
    <w:rsid w:val="00731D1F"/>
    <w:rsid w:val="007321ED"/>
    <w:rsid w:val="007323EE"/>
    <w:rsid w:val="0073240A"/>
    <w:rsid w:val="00732A63"/>
    <w:rsid w:val="00733DA6"/>
    <w:rsid w:val="00734ED4"/>
    <w:rsid w:val="00736328"/>
    <w:rsid w:val="00736612"/>
    <w:rsid w:val="007374FD"/>
    <w:rsid w:val="0074146A"/>
    <w:rsid w:val="00741C44"/>
    <w:rsid w:val="007423C9"/>
    <w:rsid w:val="007429F3"/>
    <w:rsid w:val="00743A70"/>
    <w:rsid w:val="0074665F"/>
    <w:rsid w:val="00746A72"/>
    <w:rsid w:val="00747F32"/>
    <w:rsid w:val="00747FF6"/>
    <w:rsid w:val="007512DA"/>
    <w:rsid w:val="00751602"/>
    <w:rsid w:val="00756209"/>
    <w:rsid w:val="00756E8A"/>
    <w:rsid w:val="00757DE9"/>
    <w:rsid w:val="00761873"/>
    <w:rsid w:val="007621D1"/>
    <w:rsid w:val="0076291B"/>
    <w:rsid w:val="00762A09"/>
    <w:rsid w:val="007633DF"/>
    <w:rsid w:val="00763B10"/>
    <w:rsid w:val="00764EBE"/>
    <w:rsid w:val="00764F1B"/>
    <w:rsid w:val="00765323"/>
    <w:rsid w:val="007661D0"/>
    <w:rsid w:val="00767566"/>
    <w:rsid w:val="00770065"/>
    <w:rsid w:val="00770B0C"/>
    <w:rsid w:val="00770C87"/>
    <w:rsid w:val="007713DB"/>
    <w:rsid w:val="00771A89"/>
    <w:rsid w:val="00771C07"/>
    <w:rsid w:val="00772921"/>
    <w:rsid w:val="0077298C"/>
    <w:rsid w:val="00774420"/>
    <w:rsid w:val="007744A2"/>
    <w:rsid w:val="00774F2A"/>
    <w:rsid w:val="00775CEC"/>
    <w:rsid w:val="007761E6"/>
    <w:rsid w:val="007764B7"/>
    <w:rsid w:val="00776F60"/>
    <w:rsid w:val="00777B34"/>
    <w:rsid w:val="007805B8"/>
    <w:rsid w:val="00780B99"/>
    <w:rsid w:val="007812A2"/>
    <w:rsid w:val="007816B9"/>
    <w:rsid w:val="00781AA0"/>
    <w:rsid w:val="00782EB5"/>
    <w:rsid w:val="00783BC4"/>
    <w:rsid w:val="00783D39"/>
    <w:rsid w:val="00783FA3"/>
    <w:rsid w:val="007846E4"/>
    <w:rsid w:val="00784DEA"/>
    <w:rsid w:val="00785685"/>
    <w:rsid w:val="0078594D"/>
    <w:rsid w:val="007867A3"/>
    <w:rsid w:val="00787787"/>
    <w:rsid w:val="00787C67"/>
    <w:rsid w:val="00787F4B"/>
    <w:rsid w:val="00791BA8"/>
    <w:rsid w:val="007939EF"/>
    <w:rsid w:val="00793ED0"/>
    <w:rsid w:val="0079574A"/>
    <w:rsid w:val="00796B6A"/>
    <w:rsid w:val="00797F37"/>
    <w:rsid w:val="007A00F0"/>
    <w:rsid w:val="007A05B1"/>
    <w:rsid w:val="007A0622"/>
    <w:rsid w:val="007A071A"/>
    <w:rsid w:val="007A1793"/>
    <w:rsid w:val="007A1A7E"/>
    <w:rsid w:val="007A228E"/>
    <w:rsid w:val="007A2CB6"/>
    <w:rsid w:val="007A501F"/>
    <w:rsid w:val="007A71B9"/>
    <w:rsid w:val="007A7240"/>
    <w:rsid w:val="007A73C1"/>
    <w:rsid w:val="007B030A"/>
    <w:rsid w:val="007B1E4F"/>
    <w:rsid w:val="007B2AD9"/>
    <w:rsid w:val="007B3F1E"/>
    <w:rsid w:val="007B5A0F"/>
    <w:rsid w:val="007B670E"/>
    <w:rsid w:val="007B6779"/>
    <w:rsid w:val="007B6937"/>
    <w:rsid w:val="007B6B7A"/>
    <w:rsid w:val="007C067A"/>
    <w:rsid w:val="007C0E27"/>
    <w:rsid w:val="007C1BD8"/>
    <w:rsid w:val="007C1E87"/>
    <w:rsid w:val="007C28E2"/>
    <w:rsid w:val="007C30BC"/>
    <w:rsid w:val="007C5245"/>
    <w:rsid w:val="007C59B1"/>
    <w:rsid w:val="007C61EC"/>
    <w:rsid w:val="007C67A6"/>
    <w:rsid w:val="007C7C22"/>
    <w:rsid w:val="007C7C78"/>
    <w:rsid w:val="007D0432"/>
    <w:rsid w:val="007D0D4B"/>
    <w:rsid w:val="007D155D"/>
    <w:rsid w:val="007D280E"/>
    <w:rsid w:val="007D3A6C"/>
    <w:rsid w:val="007D588F"/>
    <w:rsid w:val="007D5AE6"/>
    <w:rsid w:val="007D6462"/>
    <w:rsid w:val="007D67B9"/>
    <w:rsid w:val="007D6E88"/>
    <w:rsid w:val="007D7605"/>
    <w:rsid w:val="007D7FFC"/>
    <w:rsid w:val="007E0FBE"/>
    <w:rsid w:val="007E3534"/>
    <w:rsid w:val="007E43A2"/>
    <w:rsid w:val="007E4755"/>
    <w:rsid w:val="007E4852"/>
    <w:rsid w:val="007E5695"/>
    <w:rsid w:val="007E61F4"/>
    <w:rsid w:val="007E6A54"/>
    <w:rsid w:val="007F2904"/>
    <w:rsid w:val="007F2958"/>
    <w:rsid w:val="007F2E60"/>
    <w:rsid w:val="007F3CE3"/>
    <w:rsid w:val="007F4395"/>
    <w:rsid w:val="007F4664"/>
    <w:rsid w:val="007F4AF8"/>
    <w:rsid w:val="007F5476"/>
    <w:rsid w:val="007F55DE"/>
    <w:rsid w:val="007F562C"/>
    <w:rsid w:val="007F57AB"/>
    <w:rsid w:val="007F5FBA"/>
    <w:rsid w:val="007F66FE"/>
    <w:rsid w:val="007F78B5"/>
    <w:rsid w:val="007F78F6"/>
    <w:rsid w:val="00800427"/>
    <w:rsid w:val="00801CDC"/>
    <w:rsid w:val="008034D7"/>
    <w:rsid w:val="00804404"/>
    <w:rsid w:val="00804407"/>
    <w:rsid w:val="00804B86"/>
    <w:rsid w:val="0080556F"/>
    <w:rsid w:val="00805FBB"/>
    <w:rsid w:val="0080606C"/>
    <w:rsid w:val="008061DD"/>
    <w:rsid w:val="008067D6"/>
    <w:rsid w:val="00807680"/>
    <w:rsid w:val="00807A41"/>
    <w:rsid w:val="00807FF3"/>
    <w:rsid w:val="00811BED"/>
    <w:rsid w:val="00811FA6"/>
    <w:rsid w:val="00814606"/>
    <w:rsid w:val="008146C9"/>
    <w:rsid w:val="0081479F"/>
    <w:rsid w:val="00816BD4"/>
    <w:rsid w:val="008219E3"/>
    <w:rsid w:val="00822293"/>
    <w:rsid w:val="0082262E"/>
    <w:rsid w:val="00822961"/>
    <w:rsid w:val="00822FB0"/>
    <w:rsid w:val="00824A1A"/>
    <w:rsid w:val="00824AFF"/>
    <w:rsid w:val="00824CAC"/>
    <w:rsid w:val="00824D4B"/>
    <w:rsid w:val="00824D5B"/>
    <w:rsid w:val="00825FC6"/>
    <w:rsid w:val="008276C3"/>
    <w:rsid w:val="00827C37"/>
    <w:rsid w:val="00827F03"/>
    <w:rsid w:val="00830956"/>
    <w:rsid w:val="00830AA0"/>
    <w:rsid w:val="00831CEF"/>
    <w:rsid w:val="00832DF0"/>
    <w:rsid w:val="00833813"/>
    <w:rsid w:val="00833F8E"/>
    <w:rsid w:val="0083671D"/>
    <w:rsid w:val="00836B35"/>
    <w:rsid w:val="008408B3"/>
    <w:rsid w:val="00840A0B"/>
    <w:rsid w:val="0084235E"/>
    <w:rsid w:val="008429E4"/>
    <w:rsid w:val="008434BC"/>
    <w:rsid w:val="00843B8B"/>
    <w:rsid w:val="008441F9"/>
    <w:rsid w:val="0084667E"/>
    <w:rsid w:val="008500D7"/>
    <w:rsid w:val="008508A3"/>
    <w:rsid w:val="008516E2"/>
    <w:rsid w:val="00852BBB"/>
    <w:rsid w:val="008537E2"/>
    <w:rsid w:val="00854390"/>
    <w:rsid w:val="0085595B"/>
    <w:rsid w:val="00856BAA"/>
    <w:rsid w:val="0085753C"/>
    <w:rsid w:val="0085771E"/>
    <w:rsid w:val="008578FC"/>
    <w:rsid w:val="00860246"/>
    <w:rsid w:val="00860C27"/>
    <w:rsid w:val="008619E1"/>
    <w:rsid w:val="00862049"/>
    <w:rsid w:val="00862547"/>
    <w:rsid w:val="00862E7F"/>
    <w:rsid w:val="00863B70"/>
    <w:rsid w:val="00864931"/>
    <w:rsid w:val="00864DC8"/>
    <w:rsid w:val="008657B4"/>
    <w:rsid w:val="00867133"/>
    <w:rsid w:val="008678A8"/>
    <w:rsid w:val="00867B51"/>
    <w:rsid w:val="00870BF3"/>
    <w:rsid w:val="00870D97"/>
    <w:rsid w:val="008710D5"/>
    <w:rsid w:val="00873CEB"/>
    <w:rsid w:val="0087477D"/>
    <w:rsid w:val="008749FB"/>
    <w:rsid w:val="00874CB1"/>
    <w:rsid w:val="0087500E"/>
    <w:rsid w:val="00875BDF"/>
    <w:rsid w:val="0088135D"/>
    <w:rsid w:val="008820A3"/>
    <w:rsid w:val="0088228C"/>
    <w:rsid w:val="00882F11"/>
    <w:rsid w:val="008832F4"/>
    <w:rsid w:val="00884BE8"/>
    <w:rsid w:val="0088799F"/>
    <w:rsid w:val="00887A60"/>
    <w:rsid w:val="00887EE3"/>
    <w:rsid w:val="0089110A"/>
    <w:rsid w:val="008913F0"/>
    <w:rsid w:val="008914F0"/>
    <w:rsid w:val="0089301D"/>
    <w:rsid w:val="008934C6"/>
    <w:rsid w:val="008956A5"/>
    <w:rsid w:val="00895CD3"/>
    <w:rsid w:val="008969E1"/>
    <w:rsid w:val="008975B4"/>
    <w:rsid w:val="008975C0"/>
    <w:rsid w:val="008976A0"/>
    <w:rsid w:val="0089785B"/>
    <w:rsid w:val="008A1985"/>
    <w:rsid w:val="008A1F8D"/>
    <w:rsid w:val="008A21F6"/>
    <w:rsid w:val="008A35AB"/>
    <w:rsid w:val="008A49B6"/>
    <w:rsid w:val="008A4AB3"/>
    <w:rsid w:val="008A4F4B"/>
    <w:rsid w:val="008A569C"/>
    <w:rsid w:val="008A6356"/>
    <w:rsid w:val="008A7322"/>
    <w:rsid w:val="008A7978"/>
    <w:rsid w:val="008B070D"/>
    <w:rsid w:val="008B0C14"/>
    <w:rsid w:val="008B0CE7"/>
    <w:rsid w:val="008B3565"/>
    <w:rsid w:val="008B3B11"/>
    <w:rsid w:val="008B480B"/>
    <w:rsid w:val="008B5479"/>
    <w:rsid w:val="008B58A7"/>
    <w:rsid w:val="008B5DCA"/>
    <w:rsid w:val="008B6282"/>
    <w:rsid w:val="008B6871"/>
    <w:rsid w:val="008B6BF5"/>
    <w:rsid w:val="008C035B"/>
    <w:rsid w:val="008C0B0B"/>
    <w:rsid w:val="008C0D76"/>
    <w:rsid w:val="008C1239"/>
    <w:rsid w:val="008C1B8E"/>
    <w:rsid w:val="008C250F"/>
    <w:rsid w:val="008C2CCC"/>
    <w:rsid w:val="008C3B4E"/>
    <w:rsid w:val="008C47E1"/>
    <w:rsid w:val="008C4B2D"/>
    <w:rsid w:val="008C4DA4"/>
    <w:rsid w:val="008C6B21"/>
    <w:rsid w:val="008C7D7C"/>
    <w:rsid w:val="008D0291"/>
    <w:rsid w:val="008D0C8C"/>
    <w:rsid w:val="008D0CCF"/>
    <w:rsid w:val="008D16E0"/>
    <w:rsid w:val="008D425B"/>
    <w:rsid w:val="008D5EE9"/>
    <w:rsid w:val="008D771D"/>
    <w:rsid w:val="008E017E"/>
    <w:rsid w:val="008E0812"/>
    <w:rsid w:val="008E21A9"/>
    <w:rsid w:val="008E3096"/>
    <w:rsid w:val="008E4842"/>
    <w:rsid w:val="008E4BB0"/>
    <w:rsid w:val="008E52FF"/>
    <w:rsid w:val="008E6A95"/>
    <w:rsid w:val="008E72DD"/>
    <w:rsid w:val="008E741D"/>
    <w:rsid w:val="008E7E7F"/>
    <w:rsid w:val="008F0026"/>
    <w:rsid w:val="008F052D"/>
    <w:rsid w:val="008F0BB9"/>
    <w:rsid w:val="008F160E"/>
    <w:rsid w:val="008F24AE"/>
    <w:rsid w:val="008F2549"/>
    <w:rsid w:val="008F4234"/>
    <w:rsid w:val="008F528C"/>
    <w:rsid w:val="008F54BA"/>
    <w:rsid w:val="008F5746"/>
    <w:rsid w:val="008F59F3"/>
    <w:rsid w:val="008F6178"/>
    <w:rsid w:val="008F640A"/>
    <w:rsid w:val="008F6BE0"/>
    <w:rsid w:val="008F7F87"/>
    <w:rsid w:val="00900791"/>
    <w:rsid w:val="0090119C"/>
    <w:rsid w:val="00901A8A"/>
    <w:rsid w:val="00902644"/>
    <w:rsid w:val="00902F9C"/>
    <w:rsid w:val="0090327D"/>
    <w:rsid w:val="00903280"/>
    <w:rsid w:val="00903973"/>
    <w:rsid w:val="009044CA"/>
    <w:rsid w:val="009044F2"/>
    <w:rsid w:val="009046DF"/>
    <w:rsid w:val="009060AB"/>
    <w:rsid w:val="0090653F"/>
    <w:rsid w:val="00910E70"/>
    <w:rsid w:val="00911193"/>
    <w:rsid w:val="00912BF1"/>
    <w:rsid w:val="00913059"/>
    <w:rsid w:val="00913710"/>
    <w:rsid w:val="00913BC7"/>
    <w:rsid w:val="0091403F"/>
    <w:rsid w:val="00914F7E"/>
    <w:rsid w:val="00915E2A"/>
    <w:rsid w:val="00917E8A"/>
    <w:rsid w:val="009205CD"/>
    <w:rsid w:val="00921F70"/>
    <w:rsid w:val="00921F8A"/>
    <w:rsid w:val="00922189"/>
    <w:rsid w:val="009238D0"/>
    <w:rsid w:val="00923A97"/>
    <w:rsid w:val="009246C8"/>
    <w:rsid w:val="0092562B"/>
    <w:rsid w:val="00925B1D"/>
    <w:rsid w:val="00925CA8"/>
    <w:rsid w:val="009270D5"/>
    <w:rsid w:val="009272A1"/>
    <w:rsid w:val="00927D50"/>
    <w:rsid w:val="00927F12"/>
    <w:rsid w:val="00930A02"/>
    <w:rsid w:val="00930A0B"/>
    <w:rsid w:val="009318AA"/>
    <w:rsid w:val="00931CC4"/>
    <w:rsid w:val="009325DE"/>
    <w:rsid w:val="009331D3"/>
    <w:rsid w:val="00934231"/>
    <w:rsid w:val="0093428A"/>
    <w:rsid w:val="00934A84"/>
    <w:rsid w:val="0093536B"/>
    <w:rsid w:val="00935422"/>
    <w:rsid w:val="00935483"/>
    <w:rsid w:val="00935D35"/>
    <w:rsid w:val="009369FB"/>
    <w:rsid w:val="00937267"/>
    <w:rsid w:val="0093726F"/>
    <w:rsid w:val="00937477"/>
    <w:rsid w:val="00937877"/>
    <w:rsid w:val="00937CF9"/>
    <w:rsid w:val="009418C0"/>
    <w:rsid w:val="00941B75"/>
    <w:rsid w:val="00942F21"/>
    <w:rsid w:val="00944B84"/>
    <w:rsid w:val="00945302"/>
    <w:rsid w:val="00945345"/>
    <w:rsid w:val="009467B7"/>
    <w:rsid w:val="0094791A"/>
    <w:rsid w:val="009479A6"/>
    <w:rsid w:val="00947F76"/>
    <w:rsid w:val="0095335D"/>
    <w:rsid w:val="00954087"/>
    <w:rsid w:val="0095426C"/>
    <w:rsid w:val="00954A03"/>
    <w:rsid w:val="00955553"/>
    <w:rsid w:val="00955A37"/>
    <w:rsid w:val="00956D8E"/>
    <w:rsid w:val="009618A1"/>
    <w:rsid w:val="0096199D"/>
    <w:rsid w:val="00961ACE"/>
    <w:rsid w:val="009632F6"/>
    <w:rsid w:val="009634F5"/>
    <w:rsid w:val="00963940"/>
    <w:rsid w:val="00965046"/>
    <w:rsid w:val="00965099"/>
    <w:rsid w:val="009655DC"/>
    <w:rsid w:val="00965CF4"/>
    <w:rsid w:val="00965EBC"/>
    <w:rsid w:val="009666E1"/>
    <w:rsid w:val="00966D3C"/>
    <w:rsid w:val="0097384F"/>
    <w:rsid w:val="00974E43"/>
    <w:rsid w:val="009757EC"/>
    <w:rsid w:val="00976562"/>
    <w:rsid w:val="009777D0"/>
    <w:rsid w:val="00980832"/>
    <w:rsid w:val="00981659"/>
    <w:rsid w:val="00981ED3"/>
    <w:rsid w:val="0098269C"/>
    <w:rsid w:val="00982A9B"/>
    <w:rsid w:val="00983432"/>
    <w:rsid w:val="00983788"/>
    <w:rsid w:val="00984771"/>
    <w:rsid w:val="00985E03"/>
    <w:rsid w:val="009873C1"/>
    <w:rsid w:val="00987F05"/>
    <w:rsid w:val="009923CF"/>
    <w:rsid w:val="00993428"/>
    <w:rsid w:val="00993726"/>
    <w:rsid w:val="0099493C"/>
    <w:rsid w:val="00994EE4"/>
    <w:rsid w:val="00995C79"/>
    <w:rsid w:val="009A088F"/>
    <w:rsid w:val="009A23FA"/>
    <w:rsid w:val="009A2559"/>
    <w:rsid w:val="009A2B68"/>
    <w:rsid w:val="009A411F"/>
    <w:rsid w:val="009A4CF2"/>
    <w:rsid w:val="009A5861"/>
    <w:rsid w:val="009A5FF4"/>
    <w:rsid w:val="009A6ED3"/>
    <w:rsid w:val="009A7AD1"/>
    <w:rsid w:val="009B3A5E"/>
    <w:rsid w:val="009B3C2D"/>
    <w:rsid w:val="009B49F8"/>
    <w:rsid w:val="009B6359"/>
    <w:rsid w:val="009B6CE4"/>
    <w:rsid w:val="009B6F0C"/>
    <w:rsid w:val="009C0167"/>
    <w:rsid w:val="009C0424"/>
    <w:rsid w:val="009C0A38"/>
    <w:rsid w:val="009C1C6E"/>
    <w:rsid w:val="009C1FB9"/>
    <w:rsid w:val="009C2392"/>
    <w:rsid w:val="009C315C"/>
    <w:rsid w:val="009C38C9"/>
    <w:rsid w:val="009C3EB7"/>
    <w:rsid w:val="009C4F9B"/>
    <w:rsid w:val="009C5394"/>
    <w:rsid w:val="009C57F5"/>
    <w:rsid w:val="009C5C59"/>
    <w:rsid w:val="009C5CDB"/>
    <w:rsid w:val="009C65F1"/>
    <w:rsid w:val="009D11AB"/>
    <w:rsid w:val="009D14F0"/>
    <w:rsid w:val="009D40A7"/>
    <w:rsid w:val="009D4416"/>
    <w:rsid w:val="009D45F6"/>
    <w:rsid w:val="009D48A7"/>
    <w:rsid w:val="009D5527"/>
    <w:rsid w:val="009D5D6A"/>
    <w:rsid w:val="009D67E2"/>
    <w:rsid w:val="009D6A26"/>
    <w:rsid w:val="009E04B4"/>
    <w:rsid w:val="009E1320"/>
    <w:rsid w:val="009E1EA1"/>
    <w:rsid w:val="009E2A74"/>
    <w:rsid w:val="009E2F93"/>
    <w:rsid w:val="009E4785"/>
    <w:rsid w:val="009E5827"/>
    <w:rsid w:val="009E615C"/>
    <w:rsid w:val="009E762D"/>
    <w:rsid w:val="009F23EA"/>
    <w:rsid w:val="009F2C90"/>
    <w:rsid w:val="009F2CB6"/>
    <w:rsid w:val="009F4A71"/>
    <w:rsid w:val="009F698C"/>
    <w:rsid w:val="009F71BF"/>
    <w:rsid w:val="00A003B5"/>
    <w:rsid w:val="00A00D15"/>
    <w:rsid w:val="00A00D99"/>
    <w:rsid w:val="00A01522"/>
    <w:rsid w:val="00A01839"/>
    <w:rsid w:val="00A01D11"/>
    <w:rsid w:val="00A0264F"/>
    <w:rsid w:val="00A04121"/>
    <w:rsid w:val="00A056EA"/>
    <w:rsid w:val="00A05785"/>
    <w:rsid w:val="00A05D64"/>
    <w:rsid w:val="00A066FC"/>
    <w:rsid w:val="00A06A79"/>
    <w:rsid w:val="00A07009"/>
    <w:rsid w:val="00A0720E"/>
    <w:rsid w:val="00A10A49"/>
    <w:rsid w:val="00A1213B"/>
    <w:rsid w:val="00A12256"/>
    <w:rsid w:val="00A1288B"/>
    <w:rsid w:val="00A1395A"/>
    <w:rsid w:val="00A13FAE"/>
    <w:rsid w:val="00A14CD9"/>
    <w:rsid w:val="00A155D2"/>
    <w:rsid w:val="00A15750"/>
    <w:rsid w:val="00A15868"/>
    <w:rsid w:val="00A16A48"/>
    <w:rsid w:val="00A177A1"/>
    <w:rsid w:val="00A17FE0"/>
    <w:rsid w:val="00A2053D"/>
    <w:rsid w:val="00A2069B"/>
    <w:rsid w:val="00A209A8"/>
    <w:rsid w:val="00A221A6"/>
    <w:rsid w:val="00A224BC"/>
    <w:rsid w:val="00A229E9"/>
    <w:rsid w:val="00A24065"/>
    <w:rsid w:val="00A2428C"/>
    <w:rsid w:val="00A268F7"/>
    <w:rsid w:val="00A2761B"/>
    <w:rsid w:val="00A3028D"/>
    <w:rsid w:val="00A3059F"/>
    <w:rsid w:val="00A305A7"/>
    <w:rsid w:val="00A31822"/>
    <w:rsid w:val="00A31C8C"/>
    <w:rsid w:val="00A31DDE"/>
    <w:rsid w:val="00A32C82"/>
    <w:rsid w:val="00A32D85"/>
    <w:rsid w:val="00A342ED"/>
    <w:rsid w:val="00A35A8F"/>
    <w:rsid w:val="00A35D6F"/>
    <w:rsid w:val="00A36BA8"/>
    <w:rsid w:val="00A37752"/>
    <w:rsid w:val="00A37F1E"/>
    <w:rsid w:val="00A41513"/>
    <w:rsid w:val="00A41C98"/>
    <w:rsid w:val="00A41E2A"/>
    <w:rsid w:val="00A41F79"/>
    <w:rsid w:val="00A436DD"/>
    <w:rsid w:val="00A43847"/>
    <w:rsid w:val="00A43B37"/>
    <w:rsid w:val="00A44304"/>
    <w:rsid w:val="00A44551"/>
    <w:rsid w:val="00A44C3D"/>
    <w:rsid w:val="00A45A85"/>
    <w:rsid w:val="00A45C52"/>
    <w:rsid w:val="00A4648D"/>
    <w:rsid w:val="00A471B9"/>
    <w:rsid w:val="00A475A3"/>
    <w:rsid w:val="00A477A6"/>
    <w:rsid w:val="00A47810"/>
    <w:rsid w:val="00A5108A"/>
    <w:rsid w:val="00A516FB"/>
    <w:rsid w:val="00A526E0"/>
    <w:rsid w:val="00A52780"/>
    <w:rsid w:val="00A531C5"/>
    <w:rsid w:val="00A534E2"/>
    <w:rsid w:val="00A53724"/>
    <w:rsid w:val="00A54181"/>
    <w:rsid w:val="00A548D4"/>
    <w:rsid w:val="00A54E38"/>
    <w:rsid w:val="00A56218"/>
    <w:rsid w:val="00A57302"/>
    <w:rsid w:val="00A6007E"/>
    <w:rsid w:val="00A6053F"/>
    <w:rsid w:val="00A6057F"/>
    <w:rsid w:val="00A61565"/>
    <w:rsid w:val="00A61808"/>
    <w:rsid w:val="00A6188F"/>
    <w:rsid w:val="00A6226B"/>
    <w:rsid w:val="00A62EA1"/>
    <w:rsid w:val="00A63ABE"/>
    <w:rsid w:val="00A6458D"/>
    <w:rsid w:val="00A6635B"/>
    <w:rsid w:val="00A6730B"/>
    <w:rsid w:val="00A70476"/>
    <w:rsid w:val="00A71239"/>
    <w:rsid w:val="00A7123D"/>
    <w:rsid w:val="00A7230A"/>
    <w:rsid w:val="00A733CC"/>
    <w:rsid w:val="00A7353F"/>
    <w:rsid w:val="00A75963"/>
    <w:rsid w:val="00A76129"/>
    <w:rsid w:val="00A7658E"/>
    <w:rsid w:val="00A76C23"/>
    <w:rsid w:val="00A771C0"/>
    <w:rsid w:val="00A777D4"/>
    <w:rsid w:val="00A80523"/>
    <w:rsid w:val="00A80A41"/>
    <w:rsid w:val="00A82518"/>
    <w:rsid w:val="00A827BD"/>
    <w:rsid w:val="00A8355E"/>
    <w:rsid w:val="00A839C7"/>
    <w:rsid w:val="00A84271"/>
    <w:rsid w:val="00A85B09"/>
    <w:rsid w:val="00A86394"/>
    <w:rsid w:val="00A87097"/>
    <w:rsid w:val="00A87A29"/>
    <w:rsid w:val="00A87EEC"/>
    <w:rsid w:val="00A90A52"/>
    <w:rsid w:val="00A9313D"/>
    <w:rsid w:val="00A955F6"/>
    <w:rsid w:val="00A95B43"/>
    <w:rsid w:val="00A9601F"/>
    <w:rsid w:val="00A96D84"/>
    <w:rsid w:val="00A96DAA"/>
    <w:rsid w:val="00A9777B"/>
    <w:rsid w:val="00AA043E"/>
    <w:rsid w:val="00AA0447"/>
    <w:rsid w:val="00AA10A8"/>
    <w:rsid w:val="00AA2467"/>
    <w:rsid w:val="00AA4105"/>
    <w:rsid w:val="00AA47D3"/>
    <w:rsid w:val="00AA6274"/>
    <w:rsid w:val="00AA64A7"/>
    <w:rsid w:val="00AA660F"/>
    <w:rsid w:val="00AA67B0"/>
    <w:rsid w:val="00AA696C"/>
    <w:rsid w:val="00AA6EE4"/>
    <w:rsid w:val="00AA7327"/>
    <w:rsid w:val="00AB0485"/>
    <w:rsid w:val="00AB06B4"/>
    <w:rsid w:val="00AB06DB"/>
    <w:rsid w:val="00AB14FF"/>
    <w:rsid w:val="00AB1505"/>
    <w:rsid w:val="00AB1607"/>
    <w:rsid w:val="00AB1910"/>
    <w:rsid w:val="00AB2D17"/>
    <w:rsid w:val="00AB33DA"/>
    <w:rsid w:val="00AB3D87"/>
    <w:rsid w:val="00AB595C"/>
    <w:rsid w:val="00AC02BE"/>
    <w:rsid w:val="00AC1971"/>
    <w:rsid w:val="00AC1CE8"/>
    <w:rsid w:val="00AC1F4E"/>
    <w:rsid w:val="00AC3075"/>
    <w:rsid w:val="00AC3184"/>
    <w:rsid w:val="00AC330F"/>
    <w:rsid w:val="00AC39D4"/>
    <w:rsid w:val="00AC4685"/>
    <w:rsid w:val="00AC4ED4"/>
    <w:rsid w:val="00AC5AAD"/>
    <w:rsid w:val="00AC5DD8"/>
    <w:rsid w:val="00AC733B"/>
    <w:rsid w:val="00AC73EA"/>
    <w:rsid w:val="00AC7E78"/>
    <w:rsid w:val="00AD042D"/>
    <w:rsid w:val="00AD18D1"/>
    <w:rsid w:val="00AD24C6"/>
    <w:rsid w:val="00AD2C74"/>
    <w:rsid w:val="00AD32D4"/>
    <w:rsid w:val="00AD3AD0"/>
    <w:rsid w:val="00AD3C68"/>
    <w:rsid w:val="00AD3D5F"/>
    <w:rsid w:val="00AD44AD"/>
    <w:rsid w:val="00AD517C"/>
    <w:rsid w:val="00AD53EF"/>
    <w:rsid w:val="00AD5DF4"/>
    <w:rsid w:val="00AD683E"/>
    <w:rsid w:val="00AD6A9C"/>
    <w:rsid w:val="00AE027D"/>
    <w:rsid w:val="00AE2848"/>
    <w:rsid w:val="00AE3BD4"/>
    <w:rsid w:val="00AE3D66"/>
    <w:rsid w:val="00AE4BB2"/>
    <w:rsid w:val="00AE4C84"/>
    <w:rsid w:val="00AE6069"/>
    <w:rsid w:val="00AE79AB"/>
    <w:rsid w:val="00AE7B88"/>
    <w:rsid w:val="00AE7D23"/>
    <w:rsid w:val="00AF001C"/>
    <w:rsid w:val="00AF14D7"/>
    <w:rsid w:val="00AF2304"/>
    <w:rsid w:val="00AF5877"/>
    <w:rsid w:val="00AF5BF8"/>
    <w:rsid w:val="00AF5D5A"/>
    <w:rsid w:val="00AF6874"/>
    <w:rsid w:val="00B007D8"/>
    <w:rsid w:val="00B00A20"/>
    <w:rsid w:val="00B00EEC"/>
    <w:rsid w:val="00B012B7"/>
    <w:rsid w:val="00B0146A"/>
    <w:rsid w:val="00B0199A"/>
    <w:rsid w:val="00B0396B"/>
    <w:rsid w:val="00B048A9"/>
    <w:rsid w:val="00B05008"/>
    <w:rsid w:val="00B0505C"/>
    <w:rsid w:val="00B05933"/>
    <w:rsid w:val="00B05D23"/>
    <w:rsid w:val="00B0607A"/>
    <w:rsid w:val="00B06B33"/>
    <w:rsid w:val="00B10250"/>
    <w:rsid w:val="00B1058A"/>
    <w:rsid w:val="00B10CAE"/>
    <w:rsid w:val="00B11BDA"/>
    <w:rsid w:val="00B11FC1"/>
    <w:rsid w:val="00B1441F"/>
    <w:rsid w:val="00B14CAB"/>
    <w:rsid w:val="00B159EA"/>
    <w:rsid w:val="00B165BC"/>
    <w:rsid w:val="00B168B8"/>
    <w:rsid w:val="00B17C94"/>
    <w:rsid w:val="00B2041E"/>
    <w:rsid w:val="00B20613"/>
    <w:rsid w:val="00B20C46"/>
    <w:rsid w:val="00B2222B"/>
    <w:rsid w:val="00B225C7"/>
    <w:rsid w:val="00B22C6E"/>
    <w:rsid w:val="00B245E5"/>
    <w:rsid w:val="00B25EEB"/>
    <w:rsid w:val="00B2621B"/>
    <w:rsid w:val="00B2695A"/>
    <w:rsid w:val="00B27105"/>
    <w:rsid w:val="00B27325"/>
    <w:rsid w:val="00B303D4"/>
    <w:rsid w:val="00B31A9D"/>
    <w:rsid w:val="00B32A53"/>
    <w:rsid w:val="00B32C09"/>
    <w:rsid w:val="00B32EF4"/>
    <w:rsid w:val="00B3362C"/>
    <w:rsid w:val="00B33F7B"/>
    <w:rsid w:val="00B342F5"/>
    <w:rsid w:val="00B362E8"/>
    <w:rsid w:val="00B3643E"/>
    <w:rsid w:val="00B36AE2"/>
    <w:rsid w:val="00B37545"/>
    <w:rsid w:val="00B37B38"/>
    <w:rsid w:val="00B40A2F"/>
    <w:rsid w:val="00B40DF5"/>
    <w:rsid w:val="00B419C5"/>
    <w:rsid w:val="00B420D1"/>
    <w:rsid w:val="00B42452"/>
    <w:rsid w:val="00B427EB"/>
    <w:rsid w:val="00B42CA3"/>
    <w:rsid w:val="00B42D72"/>
    <w:rsid w:val="00B444B9"/>
    <w:rsid w:val="00B468B3"/>
    <w:rsid w:val="00B469D8"/>
    <w:rsid w:val="00B478F0"/>
    <w:rsid w:val="00B5147C"/>
    <w:rsid w:val="00B5357F"/>
    <w:rsid w:val="00B556A7"/>
    <w:rsid w:val="00B5627D"/>
    <w:rsid w:val="00B573CD"/>
    <w:rsid w:val="00B57B70"/>
    <w:rsid w:val="00B60494"/>
    <w:rsid w:val="00B620C7"/>
    <w:rsid w:val="00B638F0"/>
    <w:rsid w:val="00B63D35"/>
    <w:rsid w:val="00B63ED4"/>
    <w:rsid w:val="00B64BDA"/>
    <w:rsid w:val="00B66D38"/>
    <w:rsid w:val="00B679DD"/>
    <w:rsid w:val="00B70248"/>
    <w:rsid w:val="00B71580"/>
    <w:rsid w:val="00B7225D"/>
    <w:rsid w:val="00B72D04"/>
    <w:rsid w:val="00B7391E"/>
    <w:rsid w:val="00B7441E"/>
    <w:rsid w:val="00B75CF2"/>
    <w:rsid w:val="00B75D41"/>
    <w:rsid w:val="00B76F37"/>
    <w:rsid w:val="00B7737D"/>
    <w:rsid w:val="00B80500"/>
    <w:rsid w:val="00B80652"/>
    <w:rsid w:val="00B82197"/>
    <w:rsid w:val="00B82F05"/>
    <w:rsid w:val="00B82FD7"/>
    <w:rsid w:val="00B83751"/>
    <w:rsid w:val="00B84813"/>
    <w:rsid w:val="00B85580"/>
    <w:rsid w:val="00B85AD4"/>
    <w:rsid w:val="00B86582"/>
    <w:rsid w:val="00B86B06"/>
    <w:rsid w:val="00B86F20"/>
    <w:rsid w:val="00B86F8F"/>
    <w:rsid w:val="00B8762C"/>
    <w:rsid w:val="00B87928"/>
    <w:rsid w:val="00B87F63"/>
    <w:rsid w:val="00B9023F"/>
    <w:rsid w:val="00B90929"/>
    <w:rsid w:val="00B92CD1"/>
    <w:rsid w:val="00B936D3"/>
    <w:rsid w:val="00B93FFE"/>
    <w:rsid w:val="00B96CDA"/>
    <w:rsid w:val="00B9719C"/>
    <w:rsid w:val="00B97438"/>
    <w:rsid w:val="00B97A41"/>
    <w:rsid w:val="00BA020B"/>
    <w:rsid w:val="00BA03E3"/>
    <w:rsid w:val="00BA0A3A"/>
    <w:rsid w:val="00BA11F1"/>
    <w:rsid w:val="00BA1558"/>
    <w:rsid w:val="00BA1A59"/>
    <w:rsid w:val="00BA277E"/>
    <w:rsid w:val="00BA4E0C"/>
    <w:rsid w:val="00BA4F85"/>
    <w:rsid w:val="00BA5043"/>
    <w:rsid w:val="00BA7276"/>
    <w:rsid w:val="00BB16D1"/>
    <w:rsid w:val="00BB1F58"/>
    <w:rsid w:val="00BB24F3"/>
    <w:rsid w:val="00BB2572"/>
    <w:rsid w:val="00BB294B"/>
    <w:rsid w:val="00BB2C81"/>
    <w:rsid w:val="00BB39A6"/>
    <w:rsid w:val="00BB4E8A"/>
    <w:rsid w:val="00BB5B41"/>
    <w:rsid w:val="00BB7513"/>
    <w:rsid w:val="00BB7933"/>
    <w:rsid w:val="00BC0701"/>
    <w:rsid w:val="00BC1567"/>
    <w:rsid w:val="00BC1BAD"/>
    <w:rsid w:val="00BC2F1A"/>
    <w:rsid w:val="00BC4AEA"/>
    <w:rsid w:val="00BC5CE5"/>
    <w:rsid w:val="00BC7DEB"/>
    <w:rsid w:val="00BD01A6"/>
    <w:rsid w:val="00BD01ED"/>
    <w:rsid w:val="00BD1D3E"/>
    <w:rsid w:val="00BD28BA"/>
    <w:rsid w:val="00BD2A72"/>
    <w:rsid w:val="00BD3791"/>
    <w:rsid w:val="00BD4023"/>
    <w:rsid w:val="00BD54F5"/>
    <w:rsid w:val="00BD57CB"/>
    <w:rsid w:val="00BD7505"/>
    <w:rsid w:val="00BD7780"/>
    <w:rsid w:val="00BE2045"/>
    <w:rsid w:val="00BE20E7"/>
    <w:rsid w:val="00BE3C05"/>
    <w:rsid w:val="00BE41D8"/>
    <w:rsid w:val="00BE48C9"/>
    <w:rsid w:val="00BE54AC"/>
    <w:rsid w:val="00BE5A8C"/>
    <w:rsid w:val="00BE6332"/>
    <w:rsid w:val="00BE6C71"/>
    <w:rsid w:val="00BE6E70"/>
    <w:rsid w:val="00BE7AA3"/>
    <w:rsid w:val="00BF0EF7"/>
    <w:rsid w:val="00BF10E5"/>
    <w:rsid w:val="00BF1955"/>
    <w:rsid w:val="00BF2C35"/>
    <w:rsid w:val="00BF4ED0"/>
    <w:rsid w:val="00BF58BA"/>
    <w:rsid w:val="00BF722D"/>
    <w:rsid w:val="00C005C0"/>
    <w:rsid w:val="00C0196C"/>
    <w:rsid w:val="00C02DCF"/>
    <w:rsid w:val="00C034C5"/>
    <w:rsid w:val="00C03A69"/>
    <w:rsid w:val="00C04091"/>
    <w:rsid w:val="00C04A3D"/>
    <w:rsid w:val="00C053F3"/>
    <w:rsid w:val="00C054BF"/>
    <w:rsid w:val="00C05969"/>
    <w:rsid w:val="00C05B03"/>
    <w:rsid w:val="00C05E72"/>
    <w:rsid w:val="00C065BC"/>
    <w:rsid w:val="00C075F2"/>
    <w:rsid w:val="00C0763E"/>
    <w:rsid w:val="00C076DD"/>
    <w:rsid w:val="00C130B9"/>
    <w:rsid w:val="00C13A71"/>
    <w:rsid w:val="00C13D78"/>
    <w:rsid w:val="00C14072"/>
    <w:rsid w:val="00C14585"/>
    <w:rsid w:val="00C164F1"/>
    <w:rsid w:val="00C16BA2"/>
    <w:rsid w:val="00C17497"/>
    <w:rsid w:val="00C174A1"/>
    <w:rsid w:val="00C2040B"/>
    <w:rsid w:val="00C2120A"/>
    <w:rsid w:val="00C21FFB"/>
    <w:rsid w:val="00C22464"/>
    <w:rsid w:val="00C22630"/>
    <w:rsid w:val="00C23F2D"/>
    <w:rsid w:val="00C2413C"/>
    <w:rsid w:val="00C242E2"/>
    <w:rsid w:val="00C2439E"/>
    <w:rsid w:val="00C247CF"/>
    <w:rsid w:val="00C2596B"/>
    <w:rsid w:val="00C27601"/>
    <w:rsid w:val="00C30DAF"/>
    <w:rsid w:val="00C310D8"/>
    <w:rsid w:val="00C31433"/>
    <w:rsid w:val="00C314D1"/>
    <w:rsid w:val="00C31B2D"/>
    <w:rsid w:val="00C31FBE"/>
    <w:rsid w:val="00C3246F"/>
    <w:rsid w:val="00C32871"/>
    <w:rsid w:val="00C32A71"/>
    <w:rsid w:val="00C32CBE"/>
    <w:rsid w:val="00C33D9B"/>
    <w:rsid w:val="00C34563"/>
    <w:rsid w:val="00C34FAA"/>
    <w:rsid w:val="00C3772B"/>
    <w:rsid w:val="00C37CDE"/>
    <w:rsid w:val="00C404BA"/>
    <w:rsid w:val="00C40887"/>
    <w:rsid w:val="00C41257"/>
    <w:rsid w:val="00C41674"/>
    <w:rsid w:val="00C41889"/>
    <w:rsid w:val="00C41FB0"/>
    <w:rsid w:val="00C42102"/>
    <w:rsid w:val="00C42834"/>
    <w:rsid w:val="00C43589"/>
    <w:rsid w:val="00C43CED"/>
    <w:rsid w:val="00C43E6D"/>
    <w:rsid w:val="00C451C8"/>
    <w:rsid w:val="00C46C32"/>
    <w:rsid w:val="00C47611"/>
    <w:rsid w:val="00C47FBB"/>
    <w:rsid w:val="00C50B29"/>
    <w:rsid w:val="00C50E57"/>
    <w:rsid w:val="00C5135C"/>
    <w:rsid w:val="00C51EF8"/>
    <w:rsid w:val="00C55038"/>
    <w:rsid w:val="00C566A1"/>
    <w:rsid w:val="00C56B77"/>
    <w:rsid w:val="00C56F80"/>
    <w:rsid w:val="00C57482"/>
    <w:rsid w:val="00C57749"/>
    <w:rsid w:val="00C577AC"/>
    <w:rsid w:val="00C6017A"/>
    <w:rsid w:val="00C60295"/>
    <w:rsid w:val="00C606AB"/>
    <w:rsid w:val="00C607D3"/>
    <w:rsid w:val="00C6089D"/>
    <w:rsid w:val="00C6123C"/>
    <w:rsid w:val="00C6255A"/>
    <w:rsid w:val="00C62D26"/>
    <w:rsid w:val="00C647CB"/>
    <w:rsid w:val="00C64DBF"/>
    <w:rsid w:val="00C65C59"/>
    <w:rsid w:val="00C66836"/>
    <w:rsid w:val="00C7028C"/>
    <w:rsid w:val="00C70B51"/>
    <w:rsid w:val="00C71794"/>
    <w:rsid w:val="00C72315"/>
    <w:rsid w:val="00C72A06"/>
    <w:rsid w:val="00C737DE"/>
    <w:rsid w:val="00C74E40"/>
    <w:rsid w:val="00C76137"/>
    <w:rsid w:val="00C76637"/>
    <w:rsid w:val="00C777E1"/>
    <w:rsid w:val="00C778FC"/>
    <w:rsid w:val="00C77A8E"/>
    <w:rsid w:val="00C77C56"/>
    <w:rsid w:val="00C80CD5"/>
    <w:rsid w:val="00C8176C"/>
    <w:rsid w:val="00C82188"/>
    <w:rsid w:val="00C827E0"/>
    <w:rsid w:val="00C83CE7"/>
    <w:rsid w:val="00C84236"/>
    <w:rsid w:val="00C84470"/>
    <w:rsid w:val="00C84518"/>
    <w:rsid w:val="00C8486D"/>
    <w:rsid w:val="00C84AFA"/>
    <w:rsid w:val="00C864A0"/>
    <w:rsid w:val="00C877C8"/>
    <w:rsid w:val="00C90FF2"/>
    <w:rsid w:val="00C922E6"/>
    <w:rsid w:val="00C93C85"/>
    <w:rsid w:val="00C94189"/>
    <w:rsid w:val="00C948DE"/>
    <w:rsid w:val="00C95CF5"/>
    <w:rsid w:val="00C96571"/>
    <w:rsid w:val="00C969F9"/>
    <w:rsid w:val="00C96E08"/>
    <w:rsid w:val="00C97512"/>
    <w:rsid w:val="00CA104D"/>
    <w:rsid w:val="00CA11C5"/>
    <w:rsid w:val="00CA11F9"/>
    <w:rsid w:val="00CA2754"/>
    <w:rsid w:val="00CA2D9D"/>
    <w:rsid w:val="00CA4D78"/>
    <w:rsid w:val="00CA5389"/>
    <w:rsid w:val="00CA605E"/>
    <w:rsid w:val="00CA6574"/>
    <w:rsid w:val="00CA7BC9"/>
    <w:rsid w:val="00CB0577"/>
    <w:rsid w:val="00CB0A40"/>
    <w:rsid w:val="00CB0EF2"/>
    <w:rsid w:val="00CB1789"/>
    <w:rsid w:val="00CB2DB2"/>
    <w:rsid w:val="00CB318A"/>
    <w:rsid w:val="00CB387E"/>
    <w:rsid w:val="00CB6940"/>
    <w:rsid w:val="00CB777B"/>
    <w:rsid w:val="00CC0571"/>
    <w:rsid w:val="00CC209B"/>
    <w:rsid w:val="00CC238F"/>
    <w:rsid w:val="00CC420B"/>
    <w:rsid w:val="00CC4296"/>
    <w:rsid w:val="00CC4A13"/>
    <w:rsid w:val="00CC4C27"/>
    <w:rsid w:val="00CC5DD4"/>
    <w:rsid w:val="00CC6921"/>
    <w:rsid w:val="00CC73E7"/>
    <w:rsid w:val="00CD2092"/>
    <w:rsid w:val="00CD493C"/>
    <w:rsid w:val="00CD4B0C"/>
    <w:rsid w:val="00CD4FEC"/>
    <w:rsid w:val="00CD58E4"/>
    <w:rsid w:val="00CD605B"/>
    <w:rsid w:val="00CD7547"/>
    <w:rsid w:val="00CD7D8A"/>
    <w:rsid w:val="00CD7D95"/>
    <w:rsid w:val="00CE0061"/>
    <w:rsid w:val="00CE0865"/>
    <w:rsid w:val="00CE0D91"/>
    <w:rsid w:val="00CE12E7"/>
    <w:rsid w:val="00CE46F6"/>
    <w:rsid w:val="00CE4F7D"/>
    <w:rsid w:val="00CE5484"/>
    <w:rsid w:val="00CE5E2D"/>
    <w:rsid w:val="00CE78E9"/>
    <w:rsid w:val="00CE7FDE"/>
    <w:rsid w:val="00CF04FA"/>
    <w:rsid w:val="00CF2EDA"/>
    <w:rsid w:val="00CF3CC7"/>
    <w:rsid w:val="00CF4D9F"/>
    <w:rsid w:val="00CF541E"/>
    <w:rsid w:val="00D00889"/>
    <w:rsid w:val="00D021F0"/>
    <w:rsid w:val="00D0267C"/>
    <w:rsid w:val="00D02C0D"/>
    <w:rsid w:val="00D03055"/>
    <w:rsid w:val="00D036C9"/>
    <w:rsid w:val="00D04011"/>
    <w:rsid w:val="00D04E17"/>
    <w:rsid w:val="00D054E7"/>
    <w:rsid w:val="00D058AD"/>
    <w:rsid w:val="00D10DB5"/>
    <w:rsid w:val="00D11A78"/>
    <w:rsid w:val="00D11B3A"/>
    <w:rsid w:val="00D12669"/>
    <w:rsid w:val="00D14092"/>
    <w:rsid w:val="00D144A6"/>
    <w:rsid w:val="00D14987"/>
    <w:rsid w:val="00D15217"/>
    <w:rsid w:val="00D156CC"/>
    <w:rsid w:val="00D15979"/>
    <w:rsid w:val="00D164C4"/>
    <w:rsid w:val="00D1652D"/>
    <w:rsid w:val="00D177BF"/>
    <w:rsid w:val="00D17A76"/>
    <w:rsid w:val="00D201BB"/>
    <w:rsid w:val="00D21054"/>
    <w:rsid w:val="00D2148A"/>
    <w:rsid w:val="00D21D84"/>
    <w:rsid w:val="00D22D77"/>
    <w:rsid w:val="00D2439C"/>
    <w:rsid w:val="00D24EF7"/>
    <w:rsid w:val="00D2643F"/>
    <w:rsid w:val="00D26CA2"/>
    <w:rsid w:val="00D27F14"/>
    <w:rsid w:val="00D300CA"/>
    <w:rsid w:val="00D30AB3"/>
    <w:rsid w:val="00D31F9C"/>
    <w:rsid w:val="00D32164"/>
    <w:rsid w:val="00D328F3"/>
    <w:rsid w:val="00D339C4"/>
    <w:rsid w:val="00D33DEF"/>
    <w:rsid w:val="00D34CC9"/>
    <w:rsid w:val="00D3521B"/>
    <w:rsid w:val="00D36336"/>
    <w:rsid w:val="00D405FC"/>
    <w:rsid w:val="00D4085C"/>
    <w:rsid w:val="00D41557"/>
    <w:rsid w:val="00D418AE"/>
    <w:rsid w:val="00D4453C"/>
    <w:rsid w:val="00D44762"/>
    <w:rsid w:val="00D45209"/>
    <w:rsid w:val="00D459B2"/>
    <w:rsid w:val="00D46A57"/>
    <w:rsid w:val="00D50A33"/>
    <w:rsid w:val="00D51ABC"/>
    <w:rsid w:val="00D51EE0"/>
    <w:rsid w:val="00D52FA4"/>
    <w:rsid w:val="00D531B5"/>
    <w:rsid w:val="00D532A0"/>
    <w:rsid w:val="00D537A6"/>
    <w:rsid w:val="00D54072"/>
    <w:rsid w:val="00D54C29"/>
    <w:rsid w:val="00D54D37"/>
    <w:rsid w:val="00D56562"/>
    <w:rsid w:val="00D56687"/>
    <w:rsid w:val="00D57B6E"/>
    <w:rsid w:val="00D61469"/>
    <w:rsid w:val="00D615C0"/>
    <w:rsid w:val="00D62282"/>
    <w:rsid w:val="00D62403"/>
    <w:rsid w:val="00D625FC"/>
    <w:rsid w:val="00D63D81"/>
    <w:rsid w:val="00D64DFB"/>
    <w:rsid w:val="00D654A8"/>
    <w:rsid w:val="00D65BA8"/>
    <w:rsid w:val="00D66FA4"/>
    <w:rsid w:val="00D67209"/>
    <w:rsid w:val="00D70B88"/>
    <w:rsid w:val="00D715AD"/>
    <w:rsid w:val="00D71B10"/>
    <w:rsid w:val="00D71C84"/>
    <w:rsid w:val="00D71E3F"/>
    <w:rsid w:val="00D72816"/>
    <w:rsid w:val="00D72EB3"/>
    <w:rsid w:val="00D73D40"/>
    <w:rsid w:val="00D77782"/>
    <w:rsid w:val="00D77992"/>
    <w:rsid w:val="00D81CD0"/>
    <w:rsid w:val="00D8207F"/>
    <w:rsid w:val="00D823E4"/>
    <w:rsid w:val="00D85AF5"/>
    <w:rsid w:val="00D86FCE"/>
    <w:rsid w:val="00D9012D"/>
    <w:rsid w:val="00D9069C"/>
    <w:rsid w:val="00D9164B"/>
    <w:rsid w:val="00D91BF3"/>
    <w:rsid w:val="00D92614"/>
    <w:rsid w:val="00D9277C"/>
    <w:rsid w:val="00D92963"/>
    <w:rsid w:val="00D92A00"/>
    <w:rsid w:val="00D93E09"/>
    <w:rsid w:val="00D95160"/>
    <w:rsid w:val="00D952E4"/>
    <w:rsid w:val="00D96E10"/>
    <w:rsid w:val="00D97333"/>
    <w:rsid w:val="00DA0610"/>
    <w:rsid w:val="00DA0C17"/>
    <w:rsid w:val="00DA0EDA"/>
    <w:rsid w:val="00DA21E6"/>
    <w:rsid w:val="00DA2647"/>
    <w:rsid w:val="00DA31B7"/>
    <w:rsid w:val="00DA33F9"/>
    <w:rsid w:val="00DA44BF"/>
    <w:rsid w:val="00DA4B06"/>
    <w:rsid w:val="00DA5363"/>
    <w:rsid w:val="00DA574C"/>
    <w:rsid w:val="00DA5DBB"/>
    <w:rsid w:val="00DA6B97"/>
    <w:rsid w:val="00DA6C04"/>
    <w:rsid w:val="00DB03C0"/>
    <w:rsid w:val="00DB043D"/>
    <w:rsid w:val="00DB1137"/>
    <w:rsid w:val="00DB217D"/>
    <w:rsid w:val="00DB2FCA"/>
    <w:rsid w:val="00DB3851"/>
    <w:rsid w:val="00DB3A13"/>
    <w:rsid w:val="00DB4DAD"/>
    <w:rsid w:val="00DB4E9D"/>
    <w:rsid w:val="00DB5D03"/>
    <w:rsid w:val="00DB6102"/>
    <w:rsid w:val="00DB69CC"/>
    <w:rsid w:val="00DB7708"/>
    <w:rsid w:val="00DB77C4"/>
    <w:rsid w:val="00DB7A69"/>
    <w:rsid w:val="00DB7D89"/>
    <w:rsid w:val="00DC02E8"/>
    <w:rsid w:val="00DC0E3E"/>
    <w:rsid w:val="00DC2417"/>
    <w:rsid w:val="00DC26ED"/>
    <w:rsid w:val="00DC2BB1"/>
    <w:rsid w:val="00DC3D7B"/>
    <w:rsid w:val="00DC43B5"/>
    <w:rsid w:val="00DC49C0"/>
    <w:rsid w:val="00DC4BFC"/>
    <w:rsid w:val="00DC5D54"/>
    <w:rsid w:val="00DC5E43"/>
    <w:rsid w:val="00DC5E93"/>
    <w:rsid w:val="00DC7EEA"/>
    <w:rsid w:val="00DD163E"/>
    <w:rsid w:val="00DD1706"/>
    <w:rsid w:val="00DD202D"/>
    <w:rsid w:val="00DD3056"/>
    <w:rsid w:val="00DD30BB"/>
    <w:rsid w:val="00DD3A0B"/>
    <w:rsid w:val="00DD3E75"/>
    <w:rsid w:val="00DD43A5"/>
    <w:rsid w:val="00DD43AF"/>
    <w:rsid w:val="00DD43DC"/>
    <w:rsid w:val="00DD52BE"/>
    <w:rsid w:val="00DD5439"/>
    <w:rsid w:val="00DD5540"/>
    <w:rsid w:val="00DD55BB"/>
    <w:rsid w:val="00DD64B1"/>
    <w:rsid w:val="00DD7BD6"/>
    <w:rsid w:val="00DE0AC1"/>
    <w:rsid w:val="00DE0BA1"/>
    <w:rsid w:val="00DE1F55"/>
    <w:rsid w:val="00DE24C4"/>
    <w:rsid w:val="00DE2BD8"/>
    <w:rsid w:val="00DE3066"/>
    <w:rsid w:val="00DE381A"/>
    <w:rsid w:val="00DE3A81"/>
    <w:rsid w:val="00DE4193"/>
    <w:rsid w:val="00DE4DB9"/>
    <w:rsid w:val="00DE5892"/>
    <w:rsid w:val="00DE591C"/>
    <w:rsid w:val="00DE5DA3"/>
    <w:rsid w:val="00DE6792"/>
    <w:rsid w:val="00DE6962"/>
    <w:rsid w:val="00DF0870"/>
    <w:rsid w:val="00DF0C6C"/>
    <w:rsid w:val="00DF1570"/>
    <w:rsid w:val="00DF16E7"/>
    <w:rsid w:val="00DF2AE9"/>
    <w:rsid w:val="00DF3C17"/>
    <w:rsid w:val="00DF435D"/>
    <w:rsid w:val="00DF49F6"/>
    <w:rsid w:val="00DF5B78"/>
    <w:rsid w:val="00DF6EFE"/>
    <w:rsid w:val="00DF70C2"/>
    <w:rsid w:val="00DF773D"/>
    <w:rsid w:val="00DF7A38"/>
    <w:rsid w:val="00DF7C1C"/>
    <w:rsid w:val="00E0071F"/>
    <w:rsid w:val="00E00796"/>
    <w:rsid w:val="00E009CD"/>
    <w:rsid w:val="00E00A55"/>
    <w:rsid w:val="00E01799"/>
    <w:rsid w:val="00E0179D"/>
    <w:rsid w:val="00E025C9"/>
    <w:rsid w:val="00E04B90"/>
    <w:rsid w:val="00E06128"/>
    <w:rsid w:val="00E0687A"/>
    <w:rsid w:val="00E07BF1"/>
    <w:rsid w:val="00E1196E"/>
    <w:rsid w:val="00E11E08"/>
    <w:rsid w:val="00E13EE1"/>
    <w:rsid w:val="00E14D39"/>
    <w:rsid w:val="00E151C4"/>
    <w:rsid w:val="00E1549F"/>
    <w:rsid w:val="00E155B2"/>
    <w:rsid w:val="00E155F1"/>
    <w:rsid w:val="00E1610C"/>
    <w:rsid w:val="00E16757"/>
    <w:rsid w:val="00E16FC4"/>
    <w:rsid w:val="00E177E6"/>
    <w:rsid w:val="00E17EB7"/>
    <w:rsid w:val="00E20538"/>
    <w:rsid w:val="00E212C2"/>
    <w:rsid w:val="00E2167F"/>
    <w:rsid w:val="00E222AC"/>
    <w:rsid w:val="00E22326"/>
    <w:rsid w:val="00E22FF6"/>
    <w:rsid w:val="00E243BF"/>
    <w:rsid w:val="00E24BE5"/>
    <w:rsid w:val="00E25A1D"/>
    <w:rsid w:val="00E30EB8"/>
    <w:rsid w:val="00E31FD0"/>
    <w:rsid w:val="00E3231C"/>
    <w:rsid w:val="00E323AB"/>
    <w:rsid w:val="00E32445"/>
    <w:rsid w:val="00E32535"/>
    <w:rsid w:val="00E327B7"/>
    <w:rsid w:val="00E33543"/>
    <w:rsid w:val="00E3356F"/>
    <w:rsid w:val="00E34253"/>
    <w:rsid w:val="00E35113"/>
    <w:rsid w:val="00E36515"/>
    <w:rsid w:val="00E371AE"/>
    <w:rsid w:val="00E37D60"/>
    <w:rsid w:val="00E37DEB"/>
    <w:rsid w:val="00E413C2"/>
    <w:rsid w:val="00E41A5E"/>
    <w:rsid w:val="00E43AD7"/>
    <w:rsid w:val="00E4443A"/>
    <w:rsid w:val="00E44777"/>
    <w:rsid w:val="00E44E51"/>
    <w:rsid w:val="00E45F19"/>
    <w:rsid w:val="00E46BD2"/>
    <w:rsid w:val="00E46BF9"/>
    <w:rsid w:val="00E50306"/>
    <w:rsid w:val="00E5202E"/>
    <w:rsid w:val="00E5483E"/>
    <w:rsid w:val="00E553C7"/>
    <w:rsid w:val="00E559B5"/>
    <w:rsid w:val="00E56028"/>
    <w:rsid w:val="00E568DC"/>
    <w:rsid w:val="00E5701D"/>
    <w:rsid w:val="00E57272"/>
    <w:rsid w:val="00E57540"/>
    <w:rsid w:val="00E577B9"/>
    <w:rsid w:val="00E57991"/>
    <w:rsid w:val="00E610ED"/>
    <w:rsid w:val="00E6143B"/>
    <w:rsid w:val="00E61950"/>
    <w:rsid w:val="00E62A08"/>
    <w:rsid w:val="00E63D2C"/>
    <w:rsid w:val="00E650CE"/>
    <w:rsid w:val="00E669C6"/>
    <w:rsid w:val="00E70BB4"/>
    <w:rsid w:val="00E7134F"/>
    <w:rsid w:val="00E71923"/>
    <w:rsid w:val="00E72411"/>
    <w:rsid w:val="00E729BC"/>
    <w:rsid w:val="00E74A7B"/>
    <w:rsid w:val="00E754C3"/>
    <w:rsid w:val="00E757DA"/>
    <w:rsid w:val="00E76157"/>
    <w:rsid w:val="00E77BDF"/>
    <w:rsid w:val="00E77EC9"/>
    <w:rsid w:val="00E80604"/>
    <w:rsid w:val="00E80D74"/>
    <w:rsid w:val="00E8107D"/>
    <w:rsid w:val="00E813AC"/>
    <w:rsid w:val="00E83596"/>
    <w:rsid w:val="00E83885"/>
    <w:rsid w:val="00E85367"/>
    <w:rsid w:val="00E85935"/>
    <w:rsid w:val="00E85B7A"/>
    <w:rsid w:val="00E85F7D"/>
    <w:rsid w:val="00E86310"/>
    <w:rsid w:val="00E877E4"/>
    <w:rsid w:val="00E91122"/>
    <w:rsid w:val="00E913EA"/>
    <w:rsid w:val="00E92300"/>
    <w:rsid w:val="00E93237"/>
    <w:rsid w:val="00E9445E"/>
    <w:rsid w:val="00E954CB"/>
    <w:rsid w:val="00E95677"/>
    <w:rsid w:val="00E96724"/>
    <w:rsid w:val="00E96BE3"/>
    <w:rsid w:val="00E970EB"/>
    <w:rsid w:val="00E97338"/>
    <w:rsid w:val="00EA1D6C"/>
    <w:rsid w:val="00EA222B"/>
    <w:rsid w:val="00EA28C0"/>
    <w:rsid w:val="00EA3199"/>
    <w:rsid w:val="00EA3691"/>
    <w:rsid w:val="00EA3B5F"/>
    <w:rsid w:val="00EA3C7B"/>
    <w:rsid w:val="00EA43F8"/>
    <w:rsid w:val="00EA499D"/>
    <w:rsid w:val="00EA5FB1"/>
    <w:rsid w:val="00EA7631"/>
    <w:rsid w:val="00EB1631"/>
    <w:rsid w:val="00EB1B71"/>
    <w:rsid w:val="00EB1C01"/>
    <w:rsid w:val="00EB2807"/>
    <w:rsid w:val="00EB3A03"/>
    <w:rsid w:val="00EB3C3F"/>
    <w:rsid w:val="00EB3F22"/>
    <w:rsid w:val="00EB455E"/>
    <w:rsid w:val="00EB50AD"/>
    <w:rsid w:val="00EB5A2D"/>
    <w:rsid w:val="00EB78B3"/>
    <w:rsid w:val="00EC08C5"/>
    <w:rsid w:val="00EC0D42"/>
    <w:rsid w:val="00EC1F41"/>
    <w:rsid w:val="00EC2ED2"/>
    <w:rsid w:val="00EC34C3"/>
    <w:rsid w:val="00EC4BCC"/>
    <w:rsid w:val="00EC5025"/>
    <w:rsid w:val="00EC5DE9"/>
    <w:rsid w:val="00EC69ED"/>
    <w:rsid w:val="00EC6B17"/>
    <w:rsid w:val="00EC6E0A"/>
    <w:rsid w:val="00EC6FE9"/>
    <w:rsid w:val="00EC739E"/>
    <w:rsid w:val="00EC7BBD"/>
    <w:rsid w:val="00ED37F7"/>
    <w:rsid w:val="00ED3EDC"/>
    <w:rsid w:val="00ED3FB1"/>
    <w:rsid w:val="00ED49E9"/>
    <w:rsid w:val="00ED4A0B"/>
    <w:rsid w:val="00ED5FC5"/>
    <w:rsid w:val="00ED6160"/>
    <w:rsid w:val="00ED6CC4"/>
    <w:rsid w:val="00ED7A83"/>
    <w:rsid w:val="00EE0924"/>
    <w:rsid w:val="00EE1148"/>
    <w:rsid w:val="00EE388D"/>
    <w:rsid w:val="00EE3DCE"/>
    <w:rsid w:val="00EE4591"/>
    <w:rsid w:val="00EE47EE"/>
    <w:rsid w:val="00EE4AD3"/>
    <w:rsid w:val="00EE4B1D"/>
    <w:rsid w:val="00EE546A"/>
    <w:rsid w:val="00EE6E08"/>
    <w:rsid w:val="00EE7733"/>
    <w:rsid w:val="00EF1A42"/>
    <w:rsid w:val="00EF2D90"/>
    <w:rsid w:val="00EF3D3F"/>
    <w:rsid w:val="00EF3E03"/>
    <w:rsid w:val="00EF41BE"/>
    <w:rsid w:val="00EF48D9"/>
    <w:rsid w:val="00EF4C2E"/>
    <w:rsid w:val="00EF5097"/>
    <w:rsid w:val="00EF5AEA"/>
    <w:rsid w:val="00EF7F42"/>
    <w:rsid w:val="00F00EDC"/>
    <w:rsid w:val="00F017FB"/>
    <w:rsid w:val="00F01CA8"/>
    <w:rsid w:val="00F02D6F"/>
    <w:rsid w:val="00F03B4C"/>
    <w:rsid w:val="00F044BB"/>
    <w:rsid w:val="00F05B9F"/>
    <w:rsid w:val="00F069C9"/>
    <w:rsid w:val="00F07D98"/>
    <w:rsid w:val="00F104D9"/>
    <w:rsid w:val="00F1060C"/>
    <w:rsid w:val="00F10DC0"/>
    <w:rsid w:val="00F10F09"/>
    <w:rsid w:val="00F11AE8"/>
    <w:rsid w:val="00F14DC6"/>
    <w:rsid w:val="00F15D26"/>
    <w:rsid w:val="00F15F7A"/>
    <w:rsid w:val="00F161D5"/>
    <w:rsid w:val="00F20080"/>
    <w:rsid w:val="00F2020F"/>
    <w:rsid w:val="00F2046D"/>
    <w:rsid w:val="00F20928"/>
    <w:rsid w:val="00F20F30"/>
    <w:rsid w:val="00F21A1D"/>
    <w:rsid w:val="00F23B50"/>
    <w:rsid w:val="00F242CC"/>
    <w:rsid w:val="00F24CF3"/>
    <w:rsid w:val="00F251BE"/>
    <w:rsid w:val="00F2586D"/>
    <w:rsid w:val="00F25D6C"/>
    <w:rsid w:val="00F26610"/>
    <w:rsid w:val="00F30491"/>
    <w:rsid w:val="00F30E2F"/>
    <w:rsid w:val="00F31194"/>
    <w:rsid w:val="00F3165A"/>
    <w:rsid w:val="00F31A0B"/>
    <w:rsid w:val="00F32152"/>
    <w:rsid w:val="00F323DC"/>
    <w:rsid w:val="00F33618"/>
    <w:rsid w:val="00F34638"/>
    <w:rsid w:val="00F34842"/>
    <w:rsid w:val="00F3602D"/>
    <w:rsid w:val="00F36988"/>
    <w:rsid w:val="00F36C67"/>
    <w:rsid w:val="00F372FB"/>
    <w:rsid w:val="00F404DE"/>
    <w:rsid w:val="00F41EA1"/>
    <w:rsid w:val="00F45FD8"/>
    <w:rsid w:val="00F46678"/>
    <w:rsid w:val="00F46BB5"/>
    <w:rsid w:val="00F4746D"/>
    <w:rsid w:val="00F47558"/>
    <w:rsid w:val="00F51682"/>
    <w:rsid w:val="00F52085"/>
    <w:rsid w:val="00F52331"/>
    <w:rsid w:val="00F52380"/>
    <w:rsid w:val="00F52593"/>
    <w:rsid w:val="00F52D96"/>
    <w:rsid w:val="00F53371"/>
    <w:rsid w:val="00F5342D"/>
    <w:rsid w:val="00F54A67"/>
    <w:rsid w:val="00F54C6D"/>
    <w:rsid w:val="00F572CF"/>
    <w:rsid w:val="00F6001A"/>
    <w:rsid w:val="00F608D6"/>
    <w:rsid w:val="00F60A7C"/>
    <w:rsid w:val="00F60EEC"/>
    <w:rsid w:val="00F6116C"/>
    <w:rsid w:val="00F61A13"/>
    <w:rsid w:val="00F62A23"/>
    <w:rsid w:val="00F632B0"/>
    <w:rsid w:val="00F63440"/>
    <w:rsid w:val="00F63BBD"/>
    <w:rsid w:val="00F63DF5"/>
    <w:rsid w:val="00F6428A"/>
    <w:rsid w:val="00F644AF"/>
    <w:rsid w:val="00F64664"/>
    <w:rsid w:val="00F64B84"/>
    <w:rsid w:val="00F652C2"/>
    <w:rsid w:val="00F66192"/>
    <w:rsid w:val="00F66B92"/>
    <w:rsid w:val="00F67028"/>
    <w:rsid w:val="00F67766"/>
    <w:rsid w:val="00F7016A"/>
    <w:rsid w:val="00F703EA"/>
    <w:rsid w:val="00F705DA"/>
    <w:rsid w:val="00F70E29"/>
    <w:rsid w:val="00F70E73"/>
    <w:rsid w:val="00F71B08"/>
    <w:rsid w:val="00F7221A"/>
    <w:rsid w:val="00F730CE"/>
    <w:rsid w:val="00F745FB"/>
    <w:rsid w:val="00F74E91"/>
    <w:rsid w:val="00F7552D"/>
    <w:rsid w:val="00F75877"/>
    <w:rsid w:val="00F76291"/>
    <w:rsid w:val="00F76C1D"/>
    <w:rsid w:val="00F76C48"/>
    <w:rsid w:val="00F7782C"/>
    <w:rsid w:val="00F808A1"/>
    <w:rsid w:val="00F81786"/>
    <w:rsid w:val="00F8184B"/>
    <w:rsid w:val="00F8191B"/>
    <w:rsid w:val="00F81F78"/>
    <w:rsid w:val="00F8378A"/>
    <w:rsid w:val="00F83947"/>
    <w:rsid w:val="00F85387"/>
    <w:rsid w:val="00F85C13"/>
    <w:rsid w:val="00F85E0D"/>
    <w:rsid w:val="00F87557"/>
    <w:rsid w:val="00F87F43"/>
    <w:rsid w:val="00F93489"/>
    <w:rsid w:val="00F938A5"/>
    <w:rsid w:val="00F93C80"/>
    <w:rsid w:val="00F9511F"/>
    <w:rsid w:val="00F95BFE"/>
    <w:rsid w:val="00F96D2E"/>
    <w:rsid w:val="00F96EE0"/>
    <w:rsid w:val="00FA16C7"/>
    <w:rsid w:val="00FA1CB0"/>
    <w:rsid w:val="00FA32D3"/>
    <w:rsid w:val="00FA3804"/>
    <w:rsid w:val="00FA3909"/>
    <w:rsid w:val="00FA63F0"/>
    <w:rsid w:val="00FA6944"/>
    <w:rsid w:val="00FA7A63"/>
    <w:rsid w:val="00FB0C1E"/>
    <w:rsid w:val="00FB0FB8"/>
    <w:rsid w:val="00FB19A2"/>
    <w:rsid w:val="00FB2E00"/>
    <w:rsid w:val="00FB39D9"/>
    <w:rsid w:val="00FB40D4"/>
    <w:rsid w:val="00FB48EF"/>
    <w:rsid w:val="00FB4D85"/>
    <w:rsid w:val="00FB4E13"/>
    <w:rsid w:val="00FB4E85"/>
    <w:rsid w:val="00FB6161"/>
    <w:rsid w:val="00FB6747"/>
    <w:rsid w:val="00FB6AF6"/>
    <w:rsid w:val="00FB72BD"/>
    <w:rsid w:val="00FC0050"/>
    <w:rsid w:val="00FC1CE9"/>
    <w:rsid w:val="00FC2236"/>
    <w:rsid w:val="00FC225E"/>
    <w:rsid w:val="00FC3914"/>
    <w:rsid w:val="00FC410F"/>
    <w:rsid w:val="00FC42D6"/>
    <w:rsid w:val="00FC4680"/>
    <w:rsid w:val="00FC4ACB"/>
    <w:rsid w:val="00FC506A"/>
    <w:rsid w:val="00FC5E67"/>
    <w:rsid w:val="00FC723E"/>
    <w:rsid w:val="00FC76FB"/>
    <w:rsid w:val="00FD00E6"/>
    <w:rsid w:val="00FD012C"/>
    <w:rsid w:val="00FD0606"/>
    <w:rsid w:val="00FD1061"/>
    <w:rsid w:val="00FD16D3"/>
    <w:rsid w:val="00FD1D99"/>
    <w:rsid w:val="00FD1FFA"/>
    <w:rsid w:val="00FD30C2"/>
    <w:rsid w:val="00FD50B5"/>
    <w:rsid w:val="00FD524A"/>
    <w:rsid w:val="00FD54EB"/>
    <w:rsid w:val="00FD5C3D"/>
    <w:rsid w:val="00FD5D53"/>
    <w:rsid w:val="00FD6067"/>
    <w:rsid w:val="00FD64DA"/>
    <w:rsid w:val="00FD6E1F"/>
    <w:rsid w:val="00FE025A"/>
    <w:rsid w:val="00FE08AE"/>
    <w:rsid w:val="00FE0B9B"/>
    <w:rsid w:val="00FE1012"/>
    <w:rsid w:val="00FE12E4"/>
    <w:rsid w:val="00FE3F72"/>
    <w:rsid w:val="00FE4FEB"/>
    <w:rsid w:val="00FE5CDE"/>
    <w:rsid w:val="00FE5D54"/>
    <w:rsid w:val="00FE628D"/>
    <w:rsid w:val="00FE7909"/>
    <w:rsid w:val="00FF1476"/>
    <w:rsid w:val="00FF268C"/>
    <w:rsid w:val="00FF3148"/>
    <w:rsid w:val="00FF3C46"/>
    <w:rsid w:val="00FF5F20"/>
    <w:rsid w:val="00FF640C"/>
    <w:rsid w:val="00FF66E2"/>
    <w:rsid w:val="00FF7056"/>
    <w:rsid w:val="00FF71A6"/>
    <w:rsid w:val="00FF7FA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f" fillcolor="white" stroke="f">
      <v:fill color="white" on="f"/>
      <v:stroke on="f"/>
    </o:shapedefaults>
    <o:shapelayout v:ext="edit">
      <o:idmap v:ext="edit" data="1"/>
    </o:shapelayout>
  </w:shapeDefaults>
  <w:decimalSymbol w:val=","/>
  <w:listSeparator w:val=";"/>
  <w15:chartTrackingRefBased/>
  <w15:docId w15:val="{F927D87E-5449-4593-BE89-1581EC01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iPriority="35"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sz w:val="24"/>
      <w:szCs w:val="24"/>
      <w:lang w:val="en-US"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ind w:left="1440" w:firstLine="720"/>
      <w:jc w:val="both"/>
      <w:outlineLvl w:val="1"/>
    </w:pPr>
    <w:rPr>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b/>
      <w:bCs/>
      <w:caps/>
      <w:sz w:val="22"/>
      <w:szCs w:val="22"/>
      <w14:shadow w14:blurRad="50800" w14:dist="38100" w14:dir="2700000" w14:sx="100000" w14:sy="100000" w14:kx="0" w14:ky="0" w14:algn="tl">
        <w14:srgbClr w14:val="000000">
          <w14:alpha w14:val="60000"/>
        </w14:srgbClr>
      </w14:shadow>
    </w:rPr>
  </w:style>
  <w:style w:type="paragraph" w:styleId="Heading5">
    <w:name w:val="heading 5"/>
    <w:basedOn w:val="Normal"/>
    <w:next w:val="Normal"/>
    <w:qFormat/>
    <w:pPr>
      <w:keepNext/>
      <w:jc w:val="center"/>
      <w:outlineLvl w:val="4"/>
    </w:pPr>
    <w:rPr>
      <w:rFonts w:ascii="Comic Sans MS" w:hAnsi="Comic Sans MS"/>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Footer">
    <w:name w:val="footer"/>
    <w:basedOn w:val="Normal"/>
    <w:link w:val="FooterChar"/>
    <w:uiPriority w:val="99"/>
    <w:pPr>
      <w:widowControl w:val="0"/>
      <w:tabs>
        <w:tab w:val="center" w:pos="4320"/>
        <w:tab w:val="right" w:pos="8640"/>
      </w:tabs>
    </w:pPr>
    <w:rPr>
      <w:sz w:val="20"/>
      <w:szCs w:val="20"/>
      <w:lang w:val="en-GB"/>
    </w:rPr>
  </w:style>
  <w:style w:type="character" w:styleId="Hyperlink">
    <w:name w:val="Hyperlink"/>
    <w:uiPriority w:val="99"/>
    <w:rPr>
      <w:color w:val="0000FF"/>
      <w:u w:val="single"/>
    </w:rPr>
  </w:style>
  <w:style w:type="paragraph" w:styleId="FootnoteText">
    <w:name w:val="footnote text"/>
    <w:basedOn w:val="Normal"/>
    <w:link w:val="FootnoteTextChar"/>
    <w:uiPriority w:val="99"/>
    <w:semiHidden/>
    <w:rPr>
      <w:sz w:val="20"/>
      <w:szCs w:val="20"/>
    </w:rPr>
  </w:style>
  <w:style w:type="character" w:styleId="FootnoteReference">
    <w:name w:val="footnote reference"/>
    <w:semiHidden/>
    <w:rPr>
      <w:vertAlign w:val="superscript"/>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customStyle="1" w:styleId="font5">
    <w:name w:val="font5"/>
    <w:basedOn w:val="Normal"/>
    <w:pPr>
      <w:autoSpaceDE/>
      <w:autoSpaceDN/>
      <w:spacing w:before="100" w:beforeAutospacing="1" w:after="100" w:afterAutospacing="1"/>
    </w:pPr>
    <w:rPr>
      <w:rFonts w:ascii="Tahoma" w:eastAsia="Arial Unicode MS" w:hAnsi="Tahoma"/>
      <w:color w:val="000000"/>
      <w:sz w:val="16"/>
      <w:szCs w:val="16"/>
    </w:rPr>
  </w:style>
  <w:style w:type="paragraph" w:customStyle="1" w:styleId="font6">
    <w:name w:val="font6"/>
    <w:basedOn w:val="Normal"/>
    <w:pPr>
      <w:autoSpaceDE/>
      <w:autoSpaceDN/>
      <w:spacing w:before="100" w:beforeAutospacing="1" w:after="100" w:afterAutospacing="1"/>
    </w:pPr>
    <w:rPr>
      <w:rFonts w:ascii="Tahoma" w:eastAsia="Arial Unicode MS" w:hAnsi="Tahoma"/>
      <w:b/>
      <w:bCs/>
      <w:color w:val="000000"/>
      <w:sz w:val="16"/>
      <w:szCs w:val="16"/>
    </w:rPr>
  </w:style>
  <w:style w:type="paragraph" w:customStyle="1" w:styleId="xl24">
    <w:name w:val="xl24"/>
    <w:basedOn w:val="Normal"/>
    <w:pPr>
      <w:shd w:val="clear" w:color="auto" w:fill="FFFFFF"/>
      <w:autoSpaceDE/>
      <w:autoSpaceDN/>
      <w:spacing w:before="100" w:beforeAutospacing="1" w:after="100" w:afterAutospacing="1"/>
    </w:pPr>
    <w:rPr>
      <w:rFonts w:ascii="Arial" w:eastAsia="Arial Unicode MS" w:hAnsi="Arial"/>
      <w:sz w:val="18"/>
      <w:szCs w:val="18"/>
    </w:rPr>
  </w:style>
  <w:style w:type="paragraph" w:customStyle="1" w:styleId="xl25">
    <w:name w:val="xl25"/>
    <w:basedOn w:val="Normal"/>
    <w:pPr>
      <w:pBdr>
        <w:bottom w:val="single" w:sz="4" w:space="0" w:color="auto"/>
      </w:pBdr>
      <w:shd w:val="clear" w:color="auto" w:fill="FFFFFF"/>
      <w:autoSpaceDE/>
      <w:autoSpaceDN/>
      <w:spacing w:before="100" w:beforeAutospacing="1" w:after="100" w:afterAutospacing="1"/>
    </w:pPr>
    <w:rPr>
      <w:rFonts w:ascii="Arial" w:eastAsia="Arial Unicode MS" w:hAnsi="Arial"/>
      <w:sz w:val="18"/>
      <w:szCs w:val="18"/>
    </w:rPr>
  </w:style>
  <w:style w:type="paragraph" w:customStyle="1" w:styleId="xl26">
    <w:name w:val="xl26"/>
    <w:basedOn w:val="Normal"/>
    <w:pPr>
      <w:shd w:val="clear" w:color="auto" w:fill="FFFFFF"/>
      <w:autoSpaceDE/>
      <w:autoSpaceDN/>
      <w:spacing w:before="100" w:beforeAutospacing="1" w:after="100" w:afterAutospacing="1"/>
    </w:pPr>
    <w:rPr>
      <w:rFonts w:ascii="Arial" w:eastAsia="Arial Unicode MS" w:hAnsi="Arial"/>
      <w:color w:val="0000FF"/>
      <w:sz w:val="16"/>
      <w:szCs w:val="16"/>
    </w:rPr>
  </w:style>
  <w:style w:type="paragraph" w:customStyle="1" w:styleId="xl27">
    <w:name w:val="xl27"/>
    <w:basedOn w:val="Normal"/>
    <w:pPr>
      <w:shd w:val="clear" w:color="auto" w:fill="FFFFFF"/>
      <w:autoSpaceDE/>
      <w:autoSpaceDN/>
      <w:spacing w:before="100" w:beforeAutospacing="1" w:after="100" w:afterAutospacing="1"/>
    </w:pPr>
    <w:rPr>
      <w:rFonts w:ascii="Arial" w:eastAsia="Arial Unicode MS" w:hAnsi="Arial"/>
      <w:b/>
      <w:bCs/>
      <w:color w:val="0000FF"/>
      <w:sz w:val="16"/>
      <w:szCs w:val="16"/>
    </w:rPr>
  </w:style>
  <w:style w:type="paragraph" w:customStyle="1" w:styleId="xl28">
    <w:name w:val="xl28"/>
    <w:basedOn w:val="Normal"/>
    <w:pPr>
      <w:pBdr>
        <w:top w:val="single" w:sz="4" w:space="0" w:color="auto"/>
      </w:pBdr>
      <w:shd w:val="clear" w:color="auto" w:fill="FFFFFF"/>
      <w:autoSpaceDE/>
      <w:autoSpaceDN/>
      <w:spacing w:before="100" w:beforeAutospacing="1" w:after="100" w:afterAutospacing="1"/>
    </w:pPr>
    <w:rPr>
      <w:rFonts w:ascii="Arial" w:eastAsia="Arial Unicode MS" w:hAnsi="Arial"/>
      <w:sz w:val="18"/>
      <w:szCs w:val="18"/>
    </w:rPr>
  </w:style>
  <w:style w:type="paragraph" w:customStyle="1" w:styleId="xl29">
    <w:name w:val="xl29"/>
    <w:basedOn w:val="Normal"/>
    <w:pPr>
      <w:pBdr>
        <w:top w:val="single" w:sz="4" w:space="0" w:color="auto"/>
        <w:right w:val="single" w:sz="4" w:space="0" w:color="auto"/>
      </w:pBdr>
      <w:shd w:val="clear" w:color="auto" w:fill="FFFFFF"/>
      <w:autoSpaceDE/>
      <w:autoSpaceDN/>
      <w:spacing w:before="100" w:beforeAutospacing="1" w:after="100" w:afterAutospacing="1"/>
    </w:pPr>
    <w:rPr>
      <w:rFonts w:ascii="Arial" w:eastAsia="Arial Unicode MS" w:hAnsi="Arial"/>
      <w:sz w:val="18"/>
      <w:szCs w:val="18"/>
    </w:rPr>
  </w:style>
  <w:style w:type="paragraph" w:customStyle="1" w:styleId="xl30">
    <w:name w:val="xl30"/>
    <w:basedOn w:val="Normal"/>
    <w:pPr>
      <w:pBdr>
        <w:bottom w:val="single" w:sz="4" w:space="0" w:color="auto"/>
      </w:pBdr>
      <w:shd w:val="clear" w:color="auto" w:fill="FFFFFF"/>
      <w:autoSpaceDE/>
      <w:autoSpaceDN/>
      <w:spacing w:before="100" w:beforeAutospacing="1" w:after="100" w:afterAutospacing="1"/>
    </w:pPr>
    <w:rPr>
      <w:rFonts w:ascii="Arial Unicode MS" w:eastAsia="Arial Unicode MS" w:hAnsi="Arial Unicode MS"/>
    </w:rPr>
  </w:style>
  <w:style w:type="paragraph" w:customStyle="1" w:styleId="xl31">
    <w:name w:val="xl31"/>
    <w:basedOn w:val="Normal"/>
    <w:pPr>
      <w:pBdr>
        <w:top w:val="single" w:sz="8" w:space="0" w:color="auto"/>
        <w:left w:val="single" w:sz="8" w:space="0" w:color="auto"/>
      </w:pBdr>
      <w:shd w:val="clear" w:color="auto" w:fill="FFFFFF"/>
      <w:autoSpaceDE/>
      <w:autoSpaceDN/>
      <w:spacing w:before="100" w:beforeAutospacing="1" w:after="100" w:afterAutospacing="1"/>
    </w:pPr>
    <w:rPr>
      <w:rFonts w:ascii="Arial Unicode MS" w:eastAsia="Arial Unicode MS" w:hAnsi="Arial Unicode MS"/>
    </w:rPr>
  </w:style>
  <w:style w:type="paragraph" w:customStyle="1" w:styleId="xl32">
    <w:name w:val="xl32"/>
    <w:basedOn w:val="Normal"/>
    <w:pPr>
      <w:pBdr>
        <w:top w:val="single" w:sz="8" w:space="0" w:color="auto"/>
      </w:pBdr>
      <w:shd w:val="clear" w:color="auto" w:fill="FFFFFF"/>
      <w:autoSpaceDE/>
      <w:autoSpaceDN/>
      <w:spacing w:before="100" w:beforeAutospacing="1" w:after="100" w:afterAutospacing="1"/>
    </w:pPr>
    <w:rPr>
      <w:rFonts w:ascii="Arial Unicode MS" w:eastAsia="Arial Unicode MS" w:hAnsi="Arial Unicode MS"/>
    </w:rPr>
  </w:style>
  <w:style w:type="paragraph" w:customStyle="1" w:styleId="xl33">
    <w:name w:val="xl33"/>
    <w:basedOn w:val="Normal"/>
    <w:pPr>
      <w:pBdr>
        <w:top w:val="single" w:sz="8" w:space="0" w:color="auto"/>
        <w:right w:val="single" w:sz="8" w:space="0" w:color="auto"/>
      </w:pBdr>
      <w:shd w:val="clear" w:color="auto" w:fill="FFFFFF"/>
      <w:autoSpaceDE/>
      <w:autoSpaceDN/>
      <w:spacing w:before="100" w:beforeAutospacing="1" w:after="100" w:afterAutospacing="1"/>
    </w:pPr>
    <w:rPr>
      <w:rFonts w:ascii="Arial Unicode MS" w:eastAsia="Arial Unicode MS" w:hAnsi="Arial Unicode MS"/>
    </w:rPr>
  </w:style>
  <w:style w:type="paragraph" w:customStyle="1" w:styleId="xl34">
    <w:name w:val="xl34"/>
    <w:basedOn w:val="Normal"/>
    <w:pPr>
      <w:pBdr>
        <w:left w:val="single" w:sz="8" w:space="0" w:color="auto"/>
      </w:pBdr>
      <w:shd w:val="clear" w:color="auto" w:fill="FFFFFF"/>
      <w:autoSpaceDE/>
      <w:autoSpaceDN/>
      <w:spacing w:before="100" w:beforeAutospacing="1" w:after="100" w:afterAutospacing="1"/>
    </w:pPr>
    <w:rPr>
      <w:rFonts w:ascii="Arial Unicode MS" w:eastAsia="Arial Unicode MS" w:hAnsi="Arial Unicode MS"/>
    </w:rPr>
  </w:style>
  <w:style w:type="paragraph" w:customStyle="1" w:styleId="xl35">
    <w:name w:val="xl35"/>
    <w:basedOn w:val="Normal"/>
    <w:pPr>
      <w:pBdr>
        <w:right w:val="single" w:sz="8" w:space="0" w:color="auto"/>
      </w:pBdr>
      <w:shd w:val="clear" w:color="auto" w:fill="FFFFFF"/>
      <w:autoSpaceDE/>
      <w:autoSpaceDN/>
      <w:spacing w:before="100" w:beforeAutospacing="1" w:after="100" w:afterAutospacing="1"/>
    </w:pPr>
    <w:rPr>
      <w:rFonts w:ascii="Arial Unicode MS" w:eastAsia="Arial Unicode MS" w:hAnsi="Arial Unicode MS"/>
    </w:rPr>
  </w:style>
  <w:style w:type="paragraph" w:customStyle="1" w:styleId="xl36">
    <w:name w:val="xl36"/>
    <w:basedOn w:val="Normal"/>
    <w:pPr>
      <w:pBdr>
        <w:left w:val="single" w:sz="8" w:space="0" w:color="auto"/>
        <w:bottom w:val="single" w:sz="4" w:space="0" w:color="auto"/>
      </w:pBdr>
      <w:shd w:val="clear" w:color="auto" w:fill="FFFFFF"/>
      <w:autoSpaceDE/>
      <w:autoSpaceDN/>
      <w:spacing w:before="100" w:beforeAutospacing="1" w:after="100" w:afterAutospacing="1"/>
    </w:pPr>
    <w:rPr>
      <w:rFonts w:ascii="Arial Unicode MS" w:eastAsia="Arial Unicode MS" w:hAnsi="Arial Unicode MS"/>
    </w:rPr>
  </w:style>
  <w:style w:type="paragraph" w:customStyle="1" w:styleId="xl37">
    <w:name w:val="xl37"/>
    <w:basedOn w:val="Normal"/>
    <w:pPr>
      <w:pBdr>
        <w:top w:val="single" w:sz="4" w:space="0" w:color="auto"/>
        <w:left w:val="single" w:sz="8" w:space="0" w:color="auto"/>
      </w:pBdr>
      <w:shd w:val="clear" w:color="auto" w:fill="FFFFFF"/>
      <w:autoSpaceDE/>
      <w:autoSpaceDN/>
      <w:spacing w:before="100" w:beforeAutospacing="1" w:after="100" w:afterAutospacing="1"/>
    </w:pPr>
    <w:rPr>
      <w:rFonts w:ascii="Arial Unicode MS" w:eastAsia="Arial Unicode MS" w:hAnsi="Arial Unicode MS"/>
    </w:rPr>
  </w:style>
  <w:style w:type="paragraph" w:customStyle="1" w:styleId="xl38">
    <w:name w:val="xl38"/>
    <w:basedOn w:val="Normal"/>
    <w:pPr>
      <w:pBdr>
        <w:top w:val="single" w:sz="4" w:space="0" w:color="auto"/>
        <w:right w:val="single" w:sz="8" w:space="0" w:color="auto"/>
      </w:pBdr>
      <w:shd w:val="clear" w:color="auto" w:fill="FFFFFF"/>
      <w:autoSpaceDE/>
      <w:autoSpaceDN/>
      <w:spacing w:before="100" w:beforeAutospacing="1" w:after="100" w:afterAutospacing="1"/>
    </w:pPr>
    <w:rPr>
      <w:rFonts w:ascii="Arial Unicode MS" w:eastAsia="Arial Unicode MS" w:hAnsi="Arial Unicode MS"/>
    </w:rPr>
  </w:style>
  <w:style w:type="paragraph" w:customStyle="1" w:styleId="xl39">
    <w:name w:val="xl39"/>
    <w:basedOn w:val="Normal"/>
    <w:pPr>
      <w:pBdr>
        <w:left w:val="single" w:sz="8" w:space="0" w:color="auto"/>
        <w:bottom w:val="single" w:sz="8" w:space="0" w:color="auto"/>
      </w:pBdr>
      <w:shd w:val="clear" w:color="auto" w:fill="FFFFFF"/>
      <w:autoSpaceDE/>
      <w:autoSpaceDN/>
      <w:spacing w:before="100" w:beforeAutospacing="1" w:after="100" w:afterAutospacing="1"/>
    </w:pPr>
    <w:rPr>
      <w:rFonts w:ascii="Arial Unicode MS" w:eastAsia="Arial Unicode MS" w:hAnsi="Arial Unicode MS"/>
    </w:rPr>
  </w:style>
  <w:style w:type="paragraph" w:customStyle="1" w:styleId="xl40">
    <w:name w:val="xl40"/>
    <w:basedOn w:val="Normal"/>
    <w:pPr>
      <w:pBdr>
        <w:bottom w:val="single" w:sz="8" w:space="0" w:color="auto"/>
      </w:pBdr>
      <w:shd w:val="clear" w:color="auto" w:fill="FFFFFF"/>
      <w:autoSpaceDE/>
      <w:autoSpaceDN/>
      <w:spacing w:before="100" w:beforeAutospacing="1" w:after="100" w:afterAutospacing="1"/>
    </w:pPr>
    <w:rPr>
      <w:rFonts w:ascii="Arial Unicode MS" w:eastAsia="Arial Unicode MS" w:hAnsi="Arial Unicode MS"/>
    </w:rPr>
  </w:style>
  <w:style w:type="paragraph" w:customStyle="1" w:styleId="xl41">
    <w:name w:val="xl41"/>
    <w:basedOn w:val="Normal"/>
    <w:pPr>
      <w:pBdr>
        <w:bottom w:val="single" w:sz="8" w:space="0" w:color="auto"/>
        <w:right w:val="single" w:sz="8" w:space="0" w:color="auto"/>
      </w:pBdr>
      <w:shd w:val="clear" w:color="auto" w:fill="FFFFFF"/>
      <w:autoSpaceDE/>
      <w:autoSpaceDN/>
      <w:spacing w:before="100" w:beforeAutospacing="1" w:after="100" w:afterAutospacing="1"/>
    </w:pPr>
    <w:rPr>
      <w:rFonts w:ascii="Arial Unicode MS" w:eastAsia="Arial Unicode MS" w:hAnsi="Arial Unicode MS"/>
    </w:rPr>
  </w:style>
  <w:style w:type="paragraph" w:customStyle="1" w:styleId="xl42">
    <w:name w:val="xl42"/>
    <w:basedOn w:val="Normal"/>
    <w:pPr>
      <w:shd w:val="clear" w:color="auto" w:fill="FFFFFF"/>
      <w:autoSpaceDE/>
      <w:autoSpaceDN/>
      <w:spacing w:before="100" w:beforeAutospacing="1" w:after="100" w:afterAutospacing="1"/>
    </w:pPr>
    <w:rPr>
      <w:rFonts w:ascii="Arial" w:eastAsia="Arial Unicode MS" w:hAnsi="Arial"/>
      <w:sz w:val="16"/>
      <w:szCs w:val="16"/>
    </w:rPr>
  </w:style>
  <w:style w:type="paragraph" w:customStyle="1" w:styleId="xl43">
    <w:name w:val="xl43"/>
    <w:basedOn w:val="Normal"/>
    <w:pPr>
      <w:shd w:val="clear" w:color="auto" w:fill="FFFFFF"/>
      <w:autoSpaceDE/>
      <w:autoSpaceDN/>
      <w:spacing w:before="100" w:beforeAutospacing="1" w:after="100" w:afterAutospacing="1"/>
    </w:pPr>
    <w:rPr>
      <w:rFonts w:ascii="Arial Unicode MS" w:eastAsia="Arial Unicode MS" w:hAnsi="Arial Unicode MS"/>
    </w:rPr>
  </w:style>
  <w:style w:type="paragraph" w:customStyle="1" w:styleId="xl44">
    <w:name w:val="xl44"/>
    <w:basedOn w:val="Normal"/>
    <w:pPr>
      <w:shd w:val="clear" w:color="auto" w:fill="FFFFFF"/>
      <w:autoSpaceDE/>
      <w:autoSpaceDN/>
      <w:spacing w:before="100" w:beforeAutospacing="1" w:after="100" w:afterAutospacing="1"/>
    </w:pPr>
    <w:rPr>
      <w:rFonts w:ascii="Arial" w:eastAsia="Arial Unicode MS" w:hAnsi="Arial"/>
      <w:sz w:val="16"/>
      <w:szCs w:val="16"/>
    </w:rPr>
  </w:style>
  <w:style w:type="paragraph" w:customStyle="1" w:styleId="xl45">
    <w:name w:val="xl45"/>
    <w:basedOn w:val="Normal"/>
    <w:pPr>
      <w:shd w:val="clear" w:color="auto" w:fill="FFFFFF"/>
      <w:autoSpaceDE/>
      <w:autoSpaceDN/>
      <w:spacing w:before="100" w:beforeAutospacing="1" w:after="100" w:afterAutospacing="1"/>
      <w:jc w:val="right"/>
    </w:pPr>
    <w:rPr>
      <w:rFonts w:ascii="Arial" w:eastAsia="Arial Unicode MS" w:hAnsi="Arial"/>
      <w:b/>
      <w:bCs/>
      <w:color w:val="0000FF"/>
      <w:sz w:val="16"/>
      <w:szCs w:val="16"/>
    </w:rPr>
  </w:style>
  <w:style w:type="paragraph" w:customStyle="1" w:styleId="xl46">
    <w:name w:val="xl46"/>
    <w:basedOn w:val="Normal"/>
    <w:pPr>
      <w:shd w:val="clear" w:color="auto" w:fill="FFFFFF"/>
      <w:autoSpaceDE/>
      <w:autoSpaceDN/>
      <w:spacing w:before="100" w:beforeAutospacing="1" w:after="100" w:afterAutospacing="1"/>
    </w:pPr>
    <w:rPr>
      <w:rFonts w:ascii="Arial" w:eastAsia="Arial Unicode MS" w:hAnsi="Arial"/>
      <w:sz w:val="16"/>
      <w:szCs w:val="16"/>
    </w:rPr>
  </w:style>
  <w:style w:type="paragraph" w:customStyle="1" w:styleId="xl47">
    <w:name w:val="xl47"/>
    <w:basedOn w:val="Normal"/>
    <w:pPr>
      <w:pBdr>
        <w:right w:val="single" w:sz="4" w:space="0" w:color="auto"/>
      </w:pBdr>
      <w:shd w:val="clear" w:color="auto" w:fill="FFFFFF"/>
      <w:autoSpaceDE/>
      <w:autoSpaceDN/>
      <w:spacing w:before="100" w:beforeAutospacing="1" w:after="100" w:afterAutospacing="1"/>
    </w:pPr>
    <w:rPr>
      <w:rFonts w:ascii="Arial" w:eastAsia="Arial Unicode MS" w:hAnsi="Arial"/>
      <w:sz w:val="16"/>
      <w:szCs w:val="16"/>
    </w:rPr>
  </w:style>
  <w:style w:type="paragraph" w:customStyle="1" w:styleId="xl48">
    <w:name w:val="xl48"/>
    <w:basedOn w:val="Normal"/>
    <w:pPr>
      <w:pBdr>
        <w:top w:val="single" w:sz="4" w:space="0" w:color="auto"/>
      </w:pBdr>
      <w:shd w:val="clear" w:color="auto" w:fill="FFFFFF"/>
      <w:autoSpaceDE/>
      <w:autoSpaceDN/>
      <w:spacing w:before="100" w:beforeAutospacing="1" w:after="100" w:afterAutospacing="1"/>
    </w:pPr>
    <w:rPr>
      <w:rFonts w:ascii="Arial" w:eastAsia="Arial Unicode MS" w:hAnsi="Arial"/>
      <w:b/>
      <w:bCs/>
      <w:color w:val="0000FF"/>
      <w:sz w:val="16"/>
      <w:szCs w:val="16"/>
    </w:rPr>
  </w:style>
  <w:style w:type="paragraph" w:customStyle="1" w:styleId="xl49">
    <w:name w:val="xl49"/>
    <w:basedOn w:val="Normal"/>
    <w:pPr>
      <w:pBdr>
        <w:right w:val="single" w:sz="4" w:space="0" w:color="auto"/>
      </w:pBdr>
      <w:shd w:val="clear" w:color="auto" w:fill="FFFFFF"/>
      <w:autoSpaceDE/>
      <w:autoSpaceDN/>
      <w:spacing w:before="100" w:beforeAutospacing="1" w:after="100" w:afterAutospacing="1"/>
    </w:pPr>
    <w:rPr>
      <w:rFonts w:ascii="Arial Unicode MS" w:eastAsia="Arial Unicode MS" w:hAnsi="Arial Unicode MS"/>
    </w:rPr>
  </w:style>
  <w:style w:type="paragraph" w:customStyle="1" w:styleId="xl50">
    <w:name w:val="xl50"/>
    <w:basedOn w:val="Normal"/>
    <w:pPr>
      <w:pBdr>
        <w:top w:val="single" w:sz="4" w:space="0" w:color="auto"/>
        <w:right w:val="single" w:sz="4" w:space="0" w:color="auto"/>
      </w:pBdr>
      <w:shd w:val="clear" w:color="auto" w:fill="FFFFFF"/>
      <w:autoSpaceDE/>
      <w:autoSpaceDN/>
      <w:spacing w:before="100" w:beforeAutospacing="1" w:after="100" w:afterAutospacing="1"/>
      <w:jc w:val="center"/>
    </w:pPr>
    <w:rPr>
      <w:rFonts w:ascii="Arial" w:eastAsia="Arial Unicode MS" w:hAnsi="Arial"/>
      <w:b/>
      <w:bCs/>
      <w:color w:val="0000FF"/>
      <w:sz w:val="16"/>
      <w:szCs w:val="16"/>
    </w:rPr>
  </w:style>
  <w:style w:type="paragraph" w:customStyle="1" w:styleId="xl51">
    <w:name w:val="xl51"/>
    <w:basedOn w:val="Normal"/>
    <w:pPr>
      <w:pBdr>
        <w:top w:val="single" w:sz="4" w:space="0" w:color="auto"/>
        <w:right w:val="single" w:sz="4" w:space="0" w:color="auto"/>
      </w:pBdr>
      <w:autoSpaceDE/>
      <w:autoSpaceDN/>
      <w:spacing w:before="100" w:beforeAutospacing="1" w:after="100" w:afterAutospacing="1"/>
    </w:pPr>
    <w:rPr>
      <w:rFonts w:ascii="Arial" w:eastAsia="Arial Unicode MS" w:hAnsi="Arial"/>
      <w:color w:val="FFFFFF"/>
      <w:sz w:val="18"/>
      <w:szCs w:val="18"/>
    </w:rPr>
  </w:style>
  <w:style w:type="paragraph" w:customStyle="1" w:styleId="xl52">
    <w:name w:val="xl52"/>
    <w:basedOn w:val="Normal"/>
    <w:pPr>
      <w:pBdr>
        <w:right w:val="single" w:sz="4" w:space="0" w:color="auto"/>
      </w:pBdr>
      <w:autoSpaceDE/>
      <w:autoSpaceDN/>
      <w:spacing w:before="100" w:beforeAutospacing="1" w:after="100" w:afterAutospacing="1"/>
    </w:pPr>
    <w:rPr>
      <w:rFonts w:ascii="Arial" w:eastAsia="Arial Unicode MS" w:hAnsi="Arial"/>
      <w:color w:val="FFFFFF"/>
    </w:rPr>
  </w:style>
  <w:style w:type="paragraph" w:customStyle="1" w:styleId="xl53">
    <w:name w:val="xl53"/>
    <w:basedOn w:val="Normal"/>
    <w:pPr>
      <w:pBdr>
        <w:right w:val="single" w:sz="4" w:space="0" w:color="auto"/>
      </w:pBdr>
      <w:shd w:val="clear" w:color="auto" w:fill="FFFFFF"/>
      <w:autoSpaceDE/>
      <w:autoSpaceDN/>
      <w:spacing w:before="100" w:beforeAutospacing="1" w:after="100" w:afterAutospacing="1"/>
    </w:pPr>
    <w:rPr>
      <w:rFonts w:ascii="Arial" w:eastAsia="Arial Unicode MS" w:hAnsi="Arial"/>
      <w:sz w:val="16"/>
      <w:szCs w:val="16"/>
    </w:rPr>
  </w:style>
  <w:style w:type="paragraph" w:customStyle="1" w:styleId="xl54">
    <w:name w:val="xl54"/>
    <w:basedOn w:val="Normal"/>
    <w:pPr>
      <w:pBdr>
        <w:top w:val="single" w:sz="4" w:space="0" w:color="auto"/>
      </w:pBdr>
      <w:autoSpaceDE/>
      <w:autoSpaceDN/>
      <w:spacing w:before="100" w:beforeAutospacing="1" w:after="100" w:afterAutospacing="1"/>
    </w:pPr>
    <w:rPr>
      <w:rFonts w:ascii="Arial" w:eastAsia="Arial Unicode MS" w:hAnsi="Arial"/>
      <w:color w:val="FFFFFF"/>
      <w:sz w:val="18"/>
      <w:szCs w:val="18"/>
    </w:rPr>
  </w:style>
  <w:style w:type="paragraph" w:customStyle="1" w:styleId="xl55">
    <w:name w:val="xl55"/>
    <w:basedOn w:val="Normal"/>
    <w:pPr>
      <w:pBdr>
        <w:right w:val="single" w:sz="4" w:space="0" w:color="auto"/>
      </w:pBdr>
      <w:shd w:val="clear" w:color="auto" w:fill="FFFFFF"/>
      <w:autoSpaceDE/>
      <w:autoSpaceDN/>
      <w:spacing w:before="100" w:beforeAutospacing="1" w:after="100" w:afterAutospacing="1"/>
    </w:pPr>
    <w:rPr>
      <w:rFonts w:ascii="Arial" w:eastAsia="Arial Unicode MS" w:hAnsi="Arial"/>
      <w:sz w:val="18"/>
      <w:szCs w:val="18"/>
    </w:rPr>
  </w:style>
  <w:style w:type="paragraph" w:customStyle="1" w:styleId="xl56">
    <w:name w:val="xl56"/>
    <w:basedOn w:val="Normal"/>
    <w:pPr>
      <w:shd w:val="clear" w:color="auto" w:fill="FFFFFF"/>
      <w:autoSpaceDE/>
      <w:autoSpaceDN/>
      <w:spacing w:before="100" w:beforeAutospacing="1" w:after="100" w:afterAutospacing="1"/>
    </w:pPr>
    <w:rPr>
      <w:rFonts w:ascii="Arial" w:eastAsia="Arial Unicode MS" w:hAnsi="Arial"/>
      <w:b/>
      <w:bCs/>
      <w:color w:val="0000FF"/>
      <w:sz w:val="16"/>
      <w:szCs w:val="16"/>
    </w:rPr>
  </w:style>
  <w:style w:type="paragraph" w:customStyle="1" w:styleId="xl57">
    <w:name w:val="xl57"/>
    <w:basedOn w:val="Normal"/>
    <w:pPr>
      <w:pBdr>
        <w:right w:val="single" w:sz="4" w:space="0" w:color="auto"/>
      </w:pBdr>
      <w:shd w:val="clear" w:color="auto" w:fill="FFFFFF"/>
      <w:autoSpaceDE/>
      <w:autoSpaceDN/>
      <w:spacing w:before="100" w:beforeAutospacing="1" w:after="100" w:afterAutospacing="1"/>
    </w:pPr>
    <w:rPr>
      <w:rFonts w:ascii="Arial" w:eastAsia="Arial Unicode MS" w:hAnsi="Arial"/>
      <w:b/>
      <w:bCs/>
      <w:color w:val="0000FF"/>
      <w:sz w:val="16"/>
      <w:szCs w:val="16"/>
    </w:rPr>
  </w:style>
  <w:style w:type="paragraph" w:customStyle="1" w:styleId="xl58">
    <w:name w:val="xl58"/>
    <w:basedOn w:val="Normal"/>
    <w:pPr>
      <w:pBdr>
        <w:top w:val="single" w:sz="4" w:space="0" w:color="auto"/>
        <w:left w:val="single" w:sz="4" w:space="0" w:color="auto"/>
      </w:pBdr>
      <w:autoSpaceDE/>
      <w:autoSpaceDN/>
      <w:spacing w:before="100" w:beforeAutospacing="1" w:after="100" w:afterAutospacing="1"/>
    </w:pPr>
    <w:rPr>
      <w:rFonts w:ascii="Arial" w:eastAsia="Arial Unicode MS" w:hAnsi="Arial"/>
      <w:b/>
      <w:bCs/>
      <w:color w:val="FFFFFF"/>
      <w:sz w:val="16"/>
      <w:szCs w:val="16"/>
    </w:rPr>
  </w:style>
  <w:style w:type="paragraph" w:customStyle="1" w:styleId="xl59">
    <w:name w:val="xl59"/>
    <w:basedOn w:val="Normal"/>
    <w:pPr>
      <w:pBdr>
        <w:top w:val="single" w:sz="4" w:space="0" w:color="auto"/>
        <w:left w:val="single" w:sz="4" w:space="0" w:color="auto"/>
      </w:pBdr>
      <w:shd w:val="clear" w:color="auto" w:fill="FFFFFF"/>
      <w:autoSpaceDE/>
      <w:autoSpaceDN/>
      <w:spacing w:before="100" w:beforeAutospacing="1" w:after="100" w:afterAutospacing="1"/>
    </w:pPr>
    <w:rPr>
      <w:rFonts w:ascii="Arial" w:eastAsia="Arial Unicode MS" w:hAnsi="Arial"/>
      <w:sz w:val="18"/>
      <w:szCs w:val="18"/>
    </w:rPr>
  </w:style>
  <w:style w:type="paragraph" w:customStyle="1" w:styleId="xl60">
    <w:name w:val="xl60"/>
    <w:basedOn w:val="Normal"/>
    <w:pPr>
      <w:pBdr>
        <w:left w:val="single" w:sz="4" w:space="0" w:color="auto"/>
      </w:pBdr>
      <w:shd w:val="clear" w:color="auto" w:fill="FFFFFF"/>
      <w:autoSpaceDE/>
      <w:autoSpaceDN/>
      <w:spacing w:before="100" w:beforeAutospacing="1" w:after="100" w:afterAutospacing="1"/>
    </w:pPr>
    <w:rPr>
      <w:rFonts w:ascii="Arial" w:eastAsia="Arial Unicode MS" w:hAnsi="Arial"/>
      <w:sz w:val="16"/>
      <w:szCs w:val="16"/>
    </w:rPr>
  </w:style>
  <w:style w:type="paragraph" w:customStyle="1" w:styleId="xl61">
    <w:name w:val="xl61"/>
    <w:basedOn w:val="Normal"/>
    <w:pPr>
      <w:pBdr>
        <w:left w:val="single" w:sz="4" w:space="0" w:color="auto"/>
      </w:pBdr>
      <w:shd w:val="clear" w:color="auto" w:fill="FFFFFF"/>
      <w:autoSpaceDE/>
      <w:autoSpaceDN/>
      <w:spacing w:before="100" w:beforeAutospacing="1" w:after="100" w:afterAutospacing="1"/>
    </w:pPr>
    <w:rPr>
      <w:rFonts w:ascii="Arial Unicode MS" w:eastAsia="Arial Unicode MS" w:hAnsi="Arial Unicode MS"/>
    </w:rPr>
  </w:style>
  <w:style w:type="paragraph" w:customStyle="1" w:styleId="xl62">
    <w:name w:val="xl62"/>
    <w:basedOn w:val="Normal"/>
    <w:pPr>
      <w:pBdr>
        <w:top w:val="single" w:sz="4" w:space="0" w:color="auto"/>
        <w:left w:val="single" w:sz="4" w:space="0" w:color="auto"/>
      </w:pBdr>
      <w:shd w:val="clear" w:color="auto" w:fill="FFFFFF"/>
      <w:autoSpaceDE/>
      <w:autoSpaceDN/>
      <w:spacing w:before="100" w:beforeAutospacing="1" w:after="100" w:afterAutospacing="1"/>
      <w:jc w:val="right"/>
    </w:pPr>
    <w:rPr>
      <w:rFonts w:ascii="Arial" w:eastAsia="Arial Unicode MS" w:hAnsi="Arial"/>
      <w:b/>
      <w:bCs/>
      <w:color w:val="0000FF"/>
      <w:sz w:val="16"/>
      <w:szCs w:val="16"/>
    </w:rPr>
  </w:style>
  <w:style w:type="paragraph" w:customStyle="1" w:styleId="xl63">
    <w:name w:val="xl63"/>
    <w:basedOn w:val="Normal"/>
    <w:pPr>
      <w:autoSpaceDE/>
      <w:autoSpaceDN/>
      <w:spacing w:before="100" w:beforeAutospacing="1" w:after="100" w:afterAutospacing="1"/>
      <w:jc w:val="right"/>
    </w:pPr>
    <w:rPr>
      <w:rFonts w:ascii="Arial" w:eastAsia="Arial Unicode MS" w:hAnsi="Arial"/>
      <w:b/>
      <w:bCs/>
      <w:color w:val="FFFFFF"/>
      <w:sz w:val="16"/>
      <w:szCs w:val="16"/>
    </w:rPr>
  </w:style>
  <w:style w:type="paragraph" w:customStyle="1" w:styleId="xl64">
    <w:name w:val="xl64"/>
    <w:basedOn w:val="Normal"/>
    <w:pPr>
      <w:pBdr>
        <w:left w:val="single" w:sz="4" w:space="0" w:color="auto"/>
        <w:bottom w:val="single" w:sz="4" w:space="0" w:color="auto"/>
      </w:pBdr>
      <w:autoSpaceDE/>
      <w:autoSpaceDN/>
      <w:spacing w:before="100" w:beforeAutospacing="1" w:after="100" w:afterAutospacing="1"/>
      <w:jc w:val="right"/>
    </w:pPr>
    <w:rPr>
      <w:rFonts w:ascii="Arial" w:eastAsia="Arial Unicode MS" w:hAnsi="Arial"/>
      <w:b/>
      <w:bCs/>
      <w:color w:val="FFFFFF"/>
      <w:sz w:val="16"/>
      <w:szCs w:val="16"/>
    </w:rPr>
  </w:style>
  <w:style w:type="paragraph" w:customStyle="1" w:styleId="xl65">
    <w:name w:val="xl65"/>
    <w:basedOn w:val="Normal"/>
    <w:pPr>
      <w:pBdr>
        <w:bottom w:val="single" w:sz="4" w:space="0" w:color="auto"/>
      </w:pBdr>
      <w:autoSpaceDE/>
      <w:autoSpaceDN/>
      <w:spacing w:before="100" w:beforeAutospacing="1" w:after="100" w:afterAutospacing="1"/>
      <w:jc w:val="right"/>
    </w:pPr>
    <w:rPr>
      <w:rFonts w:ascii="Arial" w:eastAsia="Arial Unicode MS" w:hAnsi="Arial"/>
      <w:b/>
      <w:bCs/>
      <w:color w:val="FFFFFF"/>
      <w:sz w:val="16"/>
      <w:szCs w:val="16"/>
    </w:rPr>
  </w:style>
  <w:style w:type="paragraph" w:customStyle="1" w:styleId="xl66">
    <w:name w:val="xl66"/>
    <w:basedOn w:val="Normal"/>
    <w:pPr>
      <w:pBdr>
        <w:bottom w:val="single" w:sz="4" w:space="0" w:color="auto"/>
        <w:right w:val="single" w:sz="4" w:space="0" w:color="auto"/>
      </w:pBdr>
      <w:autoSpaceDE/>
      <w:autoSpaceDN/>
      <w:spacing w:before="100" w:beforeAutospacing="1" w:after="100" w:afterAutospacing="1"/>
      <w:jc w:val="right"/>
    </w:pPr>
    <w:rPr>
      <w:rFonts w:ascii="Arial" w:eastAsia="Arial Unicode MS" w:hAnsi="Arial"/>
      <w:b/>
      <w:bCs/>
      <w:color w:val="FFFFFF"/>
      <w:sz w:val="16"/>
      <w:szCs w:val="16"/>
    </w:rPr>
  </w:style>
  <w:style w:type="paragraph" w:customStyle="1" w:styleId="xl67">
    <w:name w:val="xl67"/>
    <w:basedOn w:val="Normal"/>
    <w:pPr>
      <w:pBdr>
        <w:left w:val="single" w:sz="4" w:space="0" w:color="auto"/>
      </w:pBdr>
      <w:autoSpaceDE/>
      <w:autoSpaceDN/>
      <w:spacing w:before="100" w:beforeAutospacing="1" w:after="100" w:afterAutospacing="1"/>
    </w:pPr>
    <w:rPr>
      <w:rFonts w:ascii="Arial" w:eastAsia="Arial Unicode MS" w:hAnsi="Arial"/>
      <w:color w:val="FFFFFF"/>
    </w:rPr>
  </w:style>
  <w:style w:type="paragraph" w:customStyle="1" w:styleId="xl68">
    <w:name w:val="xl68"/>
    <w:basedOn w:val="Normal"/>
    <w:pPr>
      <w:pBdr>
        <w:left w:val="single" w:sz="4" w:space="0" w:color="auto"/>
        <w:bottom w:val="single" w:sz="4" w:space="0" w:color="auto"/>
      </w:pBdr>
      <w:shd w:val="clear" w:color="auto" w:fill="FFFFFF"/>
      <w:autoSpaceDE/>
      <w:autoSpaceDN/>
      <w:spacing w:before="100" w:beforeAutospacing="1" w:after="100" w:afterAutospacing="1"/>
      <w:jc w:val="right"/>
    </w:pPr>
    <w:rPr>
      <w:rFonts w:ascii="Arial" w:eastAsia="Arial Unicode MS" w:hAnsi="Arial"/>
      <w:b/>
      <w:bCs/>
      <w:color w:val="0000FF"/>
      <w:sz w:val="16"/>
      <w:szCs w:val="16"/>
    </w:rPr>
  </w:style>
  <w:style w:type="paragraph" w:customStyle="1" w:styleId="xl69">
    <w:name w:val="xl69"/>
    <w:basedOn w:val="Normal"/>
    <w:pPr>
      <w:pBdr>
        <w:bottom w:val="single" w:sz="4" w:space="0" w:color="auto"/>
      </w:pBdr>
      <w:shd w:val="clear" w:color="auto" w:fill="FFFFFF"/>
      <w:autoSpaceDE/>
      <w:autoSpaceDN/>
      <w:spacing w:before="100" w:beforeAutospacing="1" w:after="100" w:afterAutospacing="1"/>
      <w:jc w:val="right"/>
    </w:pPr>
    <w:rPr>
      <w:rFonts w:ascii="Arial" w:eastAsia="Arial Unicode MS" w:hAnsi="Arial"/>
      <w:b/>
      <w:bCs/>
      <w:color w:val="0000FF"/>
      <w:sz w:val="16"/>
      <w:szCs w:val="16"/>
    </w:rPr>
  </w:style>
  <w:style w:type="paragraph" w:customStyle="1" w:styleId="xl70">
    <w:name w:val="xl70"/>
    <w:basedOn w:val="Normal"/>
    <w:pPr>
      <w:pBdr>
        <w:bottom w:val="single" w:sz="4" w:space="0" w:color="auto"/>
        <w:right w:val="single" w:sz="4" w:space="0" w:color="auto"/>
      </w:pBdr>
      <w:shd w:val="clear" w:color="auto" w:fill="FFFFFF"/>
      <w:autoSpaceDE/>
      <w:autoSpaceDN/>
      <w:spacing w:before="100" w:beforeAutospacing="1" w:after="100" w:afterAutospacing="1"/>
      <w:jc w:val="right"/>
    </w:pPr>
    <w:rPr>
      <w:rFonts w:ascii="Arial" w:eastAsia="Arial Unicode MS" w:hAnsi="Arial"/>
      <w:b/>
      <w:bCs/>
      <w:color w:val="0000FF"/>
      <w:sz w:val="16"/>
      <w:szCs w:val="16"/>
    </w:rPr>
  </w:style>
  <w:style w:type="paragraph" w:customStyle="1" w:styleId="xl71">
    <w:name w:val="xl71"/>
    <w:basedOn w:val="Normal"/>
    <w:pPr>
      <w:shd w:val="clear" w:color="auto" w:fill="FFFFFF"/>
      <w:autoSpaceDE/>
      <w:autoSpaceDN/>
      <w:spacing w:before="100" w:beforeAutospacing="1" w:after="100" w:afterAutospacing="1"/>
      <w:jc w:val="right"/>
    </w:pPr>
    <w:rPr>
      <w:rFonts w:ascii="Arial" w:eastAsia="Arial Unicode MS" w:hAnsi="Arial"/>
      <w:b/>
      <w:bCs/>
      <w:color w:val="0000FF"/>
      <w:sz w:val="16"/>
      <w:szCs w:val="16"/>
    </w:rPr>
  </w:style>
  <w:style w:type="paragraph" w:customStyle="1" w:styleId="xl72">
    <w:name w:val="xl72"/>
    <w:basedOn w:val="Normal"/>
    <w:pPr>
      <w:pBdr>
        <w:top w:val="single" w:sz="4" w:space="0" w:color="auto"/>
      </w:pBdr>
      <w:shd w:val="clear" w:color="auto" w:fill="FFFFFF"/>
      <w:autoSpaceDE/>
      <w:autoSpaceDN/>
      <w:spacing w:before="100" w:beforeAutospacing="1" w:after="100" w:afterAutospacing="1"/>
      <w:jc w:val="right"/>
    </w:pPr>
    <w:rPr>
      <w:rFonts w:ascii="Arial" w:eastAsia="Arial Unicode MS" w:hAnsi="Arial"/>
      <w:b/>
      <w:bCs/>
      <w:color w:val="0000FF"/>
      <w:sz w:val="16"/>
      <w:szCs w:val="16"/>
    </w:rPr>
  </w:style>
  <w:style w:type="paragraph" w:customStyle="1" w:styleId="xl73">
    <w:name w:val="xl73"/>
    <w:basedOn w:val="Normal"/>
    <w:pPr>
      <w:pBdr>
        <w:bottom w:val="single" w:sz="4" w:space="0" w:color="auto"/>
      </w:pBdr>
      <w:shd w:val="clear" w:color="auto" w:fill="FFFFFF"/>
      <w:autoSpaceDE/>
      <w:autoSpaceDN/>
      <w:spacing w:before="100" w:beforeAutospacing="1" w:after="100" w:afterAutospacing="1"/>
    </w:pPr>
    <w:rPr>
      <w:rFonts w:ascii="Arial" w:eastAsia="Arial Unicode MS" w:hAnsi="Arial"/>
      <w:b/>
      <w:bCs/>
      <w:color w:val="0000FF"/>
      <w:sz w:val="16"/>
      <w:szCs w:val="16"/>
    </w:rPr>
  </w:style>
  <w:style w:type="paragraph" w:customStyle="1" w:styleId="xl74">
    <w:name w:val="xl74"/>
    <w:basedOn w:val="Normal"/>
    <w:pPr>
      <w:pBdr>
        <w:bottom w:val="single" w:sz="4" w:space="0" w:color="auto"/>
        <w:right w:val="single" w:sz="8" w:space="0" w:color="auto"/>
      </w:pBdr>
      <w:shd w:val="clear" w:color="auto" w:fill="FFFFFF"/>
      <w:autoSpaceDE/>
      <w:autoSpaceDN/>
      <w:spacing w:before="100" w:beforeAutospacing="1" w:after="100" w:afterAutospacing="1"/>
      <w:jc w:val="right"/>
    </w:pPr>
    <w:rPr>
      <w:rFonts w:ascii="Arial" w:eastAsia="Arial Unicode MS" w:hAnsi="Arial"/>
      <w:b/>
      <w:bCs/>
      <w:color w:val="0000FF"/>
      <w:sz w:val="16"/>
      <w:szCs w:val="16"/>
    </w:rPr>
  </w:style>
  <w:style w:type="paragraph" w:customStyle="1" w:styleId="xl75">
    <w:name w:val="xl75"/>
    <w:basedOn w:val="Normal"/>
    <w:pPr>
      <w:pBdr>
        <w:left w:val="single" w:sz="4" w:space="0" w:color="auto"/>
        <w:bottom w:val="single" w:sz="8" w:space="0" w:color="auto"/>
      </w:pBdr>
      <w:shd w:val="clear" w:color="auto" w:fill="FFFFFF"/>
      <w:autoSpaceDE/>
      <w:autoSpaceDN/>
      <w:spacing w:before="100" w:beforeAutospacing="1" w:after="100" w:afterAutospacing="1"/>
    </w:pPr>
    <w:rPr>
      <w:rFonts w:ascii="Arial Unicode MS" w:eastAsia="Arial Unicode MS" w:hAnsi="Arial Unicode MS"/>
    </w:rPr>
  </w:style>
  <w:style w:type="paragraph" w:customStyle="1" w:styleId="xl76">
    <w:name w:val="xl76"/>
    <w:basedOn w:val="Normal"/>
    <w:pPr>
      <w:pBdr>
        <w:bottom w:val="single" w:sz="8" w:space="0" w:color="auto"/>
        <w:right w:val="single" w:sz="4" w:space="0" w:color="auto"/>
      </w:pBdr>
      <w:shd w:val="clear" w:color="auto" w:fill="FFFFFF"/>
      <w:autoSpaceDE/>
      <w:autoSpaceDN/>
      <w:spacing w:before="100" w:beforeAutospacing="1" w:after="100" w:afterAutospacing="1"/>
    </w:pPr>
    <w:rPr>
      <w:rFonts w:ascii="Arial Unicode MS" w:eastAsia="Arial Unicode MS" w:hAnsi="Arial Unicode MS"/>
    </w:rPr>
  </w:style>
  <w:style w:type="character" w:styleId="Strong">
    <w:name w:val="Strong"/>
    <w:uiPriority w:val="22"/>
    <w:qFormat/>
    <w:rPr>
      <w:b/>
      <w:bCs/>
    </w:rPr>
  </w:style>
  <w:style w:type="character" w:customStyle="1" w:styleId="text">
    <w:name w:val="text"/>
    <w:basedOn w:val="DefaultParagraphFont"/>
  </w:style>
  <w:style w:type="paragraph" w:styleId="BodyTextIndent">
    <w:name w:val="Body Text Indent"/>
    <w:basedOn w:val="Normal"/>
    <w:pPr>
      <w:autoSpaceDE/>
      <w:autoSpaceDN/>
      <w:spacing w:after="120"/>
      <w:ind w:left="360"/>
    </w:pPr>
    <w:rPr>
      <w:lang w:val="en-GB"/>
    </w:rPr>
  </w:style>
  <w:style w:type="paragraph" w:styleId="PlainText">
    <w:name w:val="Plain Text"/>
    <w:basedOn w:val="Normal"/>
    <w:rsid w:val="000F54F4"/>
    <w:pPr>
      <w:autoSpaceDE/>
      <w:autoSpaceDN/>
    </w:pPr>
    <w:rPr>
      <w:rFonts w:ascii="Courier New" w:hAnsi="Courier New" w:cs="Courier New"/>
      <w:sz w:val="20"/>
      <w:szCs w:val="20"/>
      <w:lang w:val="fr-FR" w:eastAsia="fr-FR"/>
    </w:rPr>
  </w:style>
  <w:style w:type="table" w:styleId="TableGrid">
    <w:name w:val="Table Grid"/>
    <w:basedOn w:val="TableNormal"/>
    <w:rsid w:val="00D165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51A58"/>
    <w:rPr>
      <w:rFonts w:ascii="Tahoma" w:hAnsi="Tahoma"/>
      <w:sz w:val="16"/>
      <w:szCs w:val="16"/>
      <w:lang w:val="x-none" w:eastAsia="x-none"/>
    </w:rPr>
  </w:style>
  <w:style w:type="character" w:customStyle="1" w:styleId="BalloonTextChar">
    <w:name w:val="Balloon Text Char"/>
    <w:link w:val="BalloonText"/>
    <w:rsid w:val="00451A58"/>
    <w:rPr>
      <w:rFonts w:ascii="Tahoma" w:hAnsi="Tahoma" w:cs="Tahoma"/>
      <w:sz w:val="16"/>
      <w:szCs w:val="16"/>
    </w:rPr>
  </w:style>
  <w:style w:type="character" w:customStyle="1" w:styleId="bernard">
    <w:name w:val="bernard"/>
    <w:semiHidden/>
    <w:rsid w:val="008D16E0"/>
    <w:rPr>
      <w:rFonts w:ascii="Arial" w:hAnsi="Arial" w:cs="Arial"/>
      <w:color w:val="000080"/>
      <w:sz w:val="20"/>
      <w:szCs w:val="20"/>
    </w:rPr>
  </w:style>
  <w:style w:type="paragraph" w:styleId="ListParagraph">
    <w:name w:val="List Paragraph"/>
    <w:basedOn w:val="Normal"/>
    <w:uiPriority w:val="34"/>
    <w:qFormat/>
    <w:rsid w:val="005E5423"/>
    <w:pPr>
      <w:autoSpaceDE/>
      <w:autoSpaceDN/>
      <w:spacing w:after="200" w:line="276" w:lineRule="auto"/>
      <w:ind w:left="720"/>
    </w:pPr>
    <w:rPr>
      <w:rFonts w:ascii="Calibri" w:eastAsia="Calibri" w:hAnsi="Calibri"/>
      <w:sz w:val="22"/>
      <w:szCs w:val="22"/>
    </w:rPr>
  </w:style>
  <w:style w:type="character" w:customStyle="1" w:styleId="FooterChar">
    <w:name w:val="Footer Char"/>
    <w:link w:val="Footer"/>
    <w:uiPriority w:val="99"/>
    <w:rsid w:val="008F2549"/>
    <w:rPr>
      <w:lang w:val="en-GB" w:eastAsia="en-US"/>
    </w:rPr>
  </w:style>
  <w:style w:type="paragraph" w:styleId="NormalWeb">
    <w:name w:val="Normal (Web)"/>
    <w:basedOn w:val="Normal"/>
    <w:uiPriority w:val="99"/>
    <w:unhideWhenUsed/>
    <w:rsid w:val="00E11E08"/>
    <w:pPr>
      <w:autoSpaceDE/>
      <w:autoSpaceDN/>
      <w:spacing w:before="100" w:beforeAutospacing="1" w:after="100" w:afterAutospacing="1"/>
    </w:pPr>
    <w:rPr>
      <w:lang w:val="nl-BE" w:eastAsia="nl-BE"/>
    </w:rPr>
  </w:style>
  <w:style w:type="paragraph" w:styleId="Caption">
    <w:name w:val="caption"/>
    <w:basedOn w:val="Normal"/>
    <w:next w:val="Normal"/>
    <w:uiPriority w:val="35"/>
    <w:unhideWhenUsed/>
    <w:qFormat/>
    <w:rsid w:val="009246C8"/>
    <w:pPr>
      <w:autoSpaceDE/>
      <w:autoSpaceDN/>
      <w:spacing w:after="200"/>
    </w:pPr>
    <w:rPr>
      <w:rFonts w:ascii="Calibri" w:eastAsia="Calibri" w:hAnsi="Calibri"/>
      <w:b/>
      <w:bCs/>
      <w:color w:val="4F81BD"/>
      <w:sz w:val="18"/>
      <w:szCs w:val="18"/>
      <w:lang w:val="en-GB"/>
    </w:rPr>
  </w:style>
  <w:style w:type="character" w:customStyle="1" w:styleId="FootnoteTextChar">
    <w:name w:val="Footnote Text Char"/>
    <w:link w:val="FootnoteText"/>
    <w:uiPriority w:val="99"/>
    <w:semiHidden/>
    <w:rsid w:val="009246C8"/>
    <w:rPr>
      <w:lang w:val="en-US" w:eastAsia="en-US"/>
    </w:rPr>
  </w:style>
  <w:style w:type="paragraph" w:styleId="DocumentMap">
    <w:name w:val="Document Map"/>
    <w:basedOn w:val="Normal"/>
    <w:link w:val="DocumentMapChar"/>
    <w:rsid w:val="00104F7D"/>
    <w:rPr>
      <w:rFonts w:ascii="Tahoma" w:hAnsi="Tahoma"/>
      <w:sz w:val="16"/>
      <w:szCs w:val="16"/>
    </w:rPr>
  </w:style>
  <w:style w:type="character" w:customStyle="1" w:styleId="DocumentMapChar">
    <w:name w:val="Document Map Char"/>
    <w:link w:val="DocumentMap"/>
    <w:rsid w:val="00104F7D"/>
    <w:rPr>
      <w:rFonts w:ascii="Tahoma" w:hAnsi="Tahoma" w:cs="Tahoma"/>
      <w:sz w:val="16"/>
      <w:szCs w:val="16"/>
      <w:lang w:val="en-US" w:eastAsia="en-US"/>
    </w:rPr>
  </w:style>
  <w:style w:type="paragraph" w:styleId="EndnoteText">
    <w:name w:val="endnote text"/>
    <w:basedOn w:val="Normal"/>
    <w:link w:val="EndnoteTextChar"/>
    <w:rsid w:val="00477B24"/>
    <w:rPr>
      <w:sz w:val="20"/>
      <w:szCs w:val="20"/>
    </w:rPr>
  </w:style>
  <w:style w:type="character" w:customStyle="1" w:styleId="EndnoteTextChar">
    <w:name w:val="Endnote Text Char"/>
    <w:basedOn w:val="DefaultParagraphFont"/>
    <w:link w:val="EndnoteText"/>
    <w:rsid w:val="00477B24"/>
  </w:style>
  <w:style w:type="character" w:styleId="EndnoteReference">
    <w:name w:val="endnote reference"/>
    <w:rsid w:val="00477B24"/>
    <w:rPr>
      <w:vertAlign w:val="superscript"/>
    </w:rPr>
  </w:style>
  <w:style w:type="character" w:styleId="CommentReference">
    <w:name w:val="annotation reference"/>
    <w:rsid w:val="008441F9"/>
    <w:rPr>
      <w:sz w:val="16"/>
      <w:szCs w:val="16"/>
    </w:rPr>
  </w:style>
  <w:style w:type="paragraph" w:styleId="CommentText">
    <w:name w:val="annotation text"/>
    <w:basedOn w:val="Normal"/>
    <w:link w:val="CommentTextChar"/>
    <w:rsid w:val="008441F9"/>
    <w:rPr>
      <w:sz w:val="20"/>
      <w:szCs w:val="20"/>
    </w:rPr>
  </w:style>
  <w:style w:type="character" w:customStyle="1" w:styleId="CommentTextChar">
    <w:name w:val="Comment Text Char"/>
    <w:link w:val="CommentText"/>
    <w:rsid w:val="008441F9"/>
    <w:rPr>
      <w:lang w:val="en-US" w:eastAsia="en-US"/>
    </w:rPr>
  </w:style>
  <w:style w:type="paragraph" w:styleId="CommentSubject">
    <w:name w:val="annotation subject"/>
    <w:basedOn w:val="CommentText"/>
    <w:next w:val="CommentText"/>
    <w:link w:val="CommentSubjectChar"/>
    <w:rsid w:val="008441F9"/>
    <w:rPr>
      <w:b/>
      <w:bCs/>
    </w:rPr>
  </w:style>
  <w:style w:type="character" w:customStyle="1" w:styleId="CommentSubjectChar">
    <w:name w:val="Comment Subject Char"/>
    <w:link w:val="CommentSubject"/>
    <w:rsid w:val="008441F9"/>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8088">
      <w:bodyDiv w:val="1"/>
      <w:marLeft w:val="0"/>
      <w:marRight w:val="0"/>
      <w:marTop w:val="0"/>
      <w:marBottom w:val="0"/>
      <w:divBdr>
        <w:top w:val="none" w:sz="0" w:space="0" w:color="auto"/>
        <w:left w:val="none" w:sz="0" w:space="0" w:color="auto"/>
        <w:bottom w:val="none" w:sz="0" w:space="0" w:color="auto"/>
        <w:right w:val="none" w:sz="0" w:space="0" w:color="auto"/>
      </w:divBdr>
    </w:div>
    <w:div w:id="11807795">
      <w:bodyDiv w:val="1"/>
      <w:marLeft w:val="0"/>
      <w:marRight w:val="0"/>
      <w:marTop w:val="0"/>
      <w:marBottom w:val="0"/>
      <w:divBdr>
        <w:top w:val="none" w:sz="0" w:space="0" w:color="auto"/>
        <w:left w:val="none" w:sz="0" w:space="0" w:color="auto"/>
        <w:bottom w:val="none" w:sz="0" w:space="0" w:color="auto"/>
        <w:right w:val="none" w:sz="0" w:space="0" w:color="auto"/>
      </w:divBdr>
    </w:div>
    <w:div w:id="148521087">
      <w:bodyDiv w:val="1"/>
      <w:marLeft w:val="0"/>
      <w:marRight w:val="0"/>
      <w:marTop w:val="0"/>
      <w:marBottom w:val="0"/>
      <w:divBdr>
        <w:top w:val="none" w:sz="0" w:space="0" w:color="auto"/>
        <w:left w:val="none" w:sz="0" w:space="0" w:color="auto"/>
        <w:bottom w:val="none" w:sz="0" w:space="0" w:color="auto"/>
        <w:right w:val="none" w:sz="0" w:space="0" w:color="auto"/>
      </w:divBdr>
    </w:div>
    <w:div w:id="205728049">
      <w:bodyDiv w:val="1"/>
      <w:marLeft w:val="0"/>
      <w:marRight w:val="0"/>
      <w:marTop w:val="0"/>
      <w:marBottom w:val="0"/>
      <w:divBdr>
        <w:top w:val="none" w:sz="0" w:space="0" w:color="auto"/>
        <w:left w:val="none" w:sz="0" w:space="0" w:color="auto"/>
        <w:bottom w:val="none" w:sz="0" w:space="0" w:color="auto"/>
        <w:right w:val="none" w:sz="0" w:space="0" w:color="auto"/>
      </w:divBdr>
    </w:div>
    <w:div w:id="223680195">
      <w:bodyDiv w:val="1"/>
      <w:marLeft w:val="0"/>
      <w:marRight w:val="0"/>
      <w:marTop w:val="0"/>
      <w:marBottom w:val="0"/>
      <w:divBdr>
        <w:top w:val="none" w:sz="0" w:space="0" w:color="auto"/>
        <w:left w:val="none" w:sz="0" w:space="0" w:color="auto"/>
        <w:bottom w:val="none" w:sz="0" w:space="0" w:color="auto"/>
        <w:right w:val="none" w:sz="0" w:space="0" w:color="auto"/>
      </w:divBdr>
    </w:div>
    <w:div w:id="228811153">
      <w:bodyDiv w:val="1"/>
      <w:marLeft w:val="0"/>
      <w:marRight w:val="0"/>
      <w:marTop w:val="0"/>
      <w:marBottom w:val="0"/>
      <w:divBdr>
        <w:top w:val="none" w:sz="0" w:space="0" w:color="auto"/>
        <w:left w:val="none" w:sz="0" w:space="0" w:color="auto"/>
        <w:bottom w:val="none" w:sz="0" w:space="0" w:color="auto"/>
        <w:right w:val="none" w:sz="0" w:space="0" w:color="auto"/>
      </w:divBdr>
    </w:div>
    <w:div w:id="244464110">
      <w:bodyDiv w:val="1"/>
      <w:marLeft w:val="0"/>
      <w:marRight w:val="0"/>
      <w:marTop w:val="0"/>
      <w:marBottom w:val="0"/>
      <w:divBdr>
        <w:top w:val="none" w:sz="0" w:space="0" w:color="auto"/>
        <w:left w:val="none" w:sz="0" w:space="0" w:color="auto"/>
        <w:bottom w:val="none" w:sz="0" w:space="0" w:color="auto"/>
        <w:right w:val="none" w:sz="0" w:space="0" w:color="auto"/>
      </w:divBdr>
    </w:div>
    <w:div w:id="248200883">
      <w:bodyDiv w:val="1"/>
      <w:marLeft w:val="0"/>
      <w:marRight w:val="0"/>
      <w:marTop w:val="0"/>
      <w:marBottom w:val="0"/>
      <w:divBdr>
        <w:top w:val="none" w:sz="0" w:space="0" w:color="auto"/>
        <w:left w:val="none" w:sz="0" w:space="0" w:color="auto"/>
        <w:bottom w:val="none" w:sz="0" w:space="0" w:color="auto"/>
        <w:right w:val="none" w:sz="0" w:space="0" w:color="auto"/>
      </w:divBdr>
    </w:div>
    <w:div w:id="248462325">
      <w:bodyDiv w:val="1"/>
      <w:marLeft w:val="0"/>
      <w:marRight w:val="0"/>
      <w:marTop w:val="0"/>
      <w:marBottom w:val="0"/>
      <w:divBdr>
        <w:top w:val="none" w:sz="0" w:space="0" w:color="auto"/>
        <w:left w:val="none" w:sz="0" w:space="0" w:color="auto"/>
        <w:bottom w:val="none" w:sz="0" w:space="0" w:color="auto"/>
        <w:right w:val="none" w:sz="0" w:space="0" w:color="auto"/>
      </w:divBdr>
    </w:div>
    <w:div w:id="253709864">
      <w:bodyDiv w:val="1"/>
      <w:marLeft w:val="0"/>
      <w:marRight w:val="0"/>
      <w:marTop w:val="0"/>
      <w:marBottom w:val="0"/>
      <w:divBdr>
        <w:top w:val="none" w:sz="0" w:space="0" w:color="auto"/>
        <w:left w:val="none" w:sz="0" w:space="0" w:color="auto"/>
        <w:bottom w:val="none" w:sz="0" w:space="0" w:color="auto"/>
        <w:right w:val="none" w:sz="0" w:space="0" w:color="auto"/>
      </w:divBdr>
    </w:div>
    <w:div w:id="291331728">
      <w:bodyDiv w:val="1"/>
      <w:marLeft w:val="0"/>
      <w:marRight w:val="0"/>
      <w:marTop w:val="0"/>
      <w:marBottom w:val="0"/>
      <w:divBdr>
        <w:top w:val="none" w:sz="0" w:space="0" w:color="auto"/>
        <w:left w:val="none" w:sz="0" w:space="0" w:color="auto"/>
        <w:bottom w:val="none" w:sz="0" w:space="0" w:color="auto"/>
        <w:right w:val="none" w:sz="0" w:space="0" w:color="auto"/>
      </w:divBdr>
    </w:div>
    <w:div w:id="322973802">
      <w:bodyDiv w:val="1"/>
      <w:marLeft w:val="0"/>
      <w:marRight w:val="0"/>
      <w:marTop w:val="0"/>
      <w:marBottom w:val="0"/>
      <w:divBdr>
        <w:top w:val="none" w:sz="0" w:space="0" w:color="auto"/>
        <w:left w:val="none" w:sz="0" w:space="0" w:color="auto"/>
        <w:bottom w:val="none" w:sz="0" w:space="0" w:color="auto"/>
        <w:right w:val="none" w:sz="0" w:space="0" w:color="auto"/>
      </w:divBdr>
    </w:div>
    <w:div w:id="347218254">
      <w:bodyDiv w:val="1"/>
      <w:marLeft w:val="0"/>
      <w:marRight w:val="0"/>
      <w:marTop w:val="0"/>
      <w:marBottom w:val="0"/>
      <w:divBdr>
        <w:top w:val="none" w:sz="0" w:space="0" w:color="auto"/>
        <w:left w:val="none" w:sz="0" w:space="0" w:color="auto"/>
        <w:bottom w:val="none" w:sz="0" w:space="0" w:color="auto"/>
        <w:right w:val="none" w:sz="0" w:space="0" w:color="auto"/>
      </w:divBdr>
      <w:divsChild>
        <w:div w:id="2064135576">
          <w:marLeft w:val="0"/>
          <w:marRight w:val="0"/>
          <w:marTop w:val="0"/>
          <w:marBottom w:val="0"/>
          <w:divBdr>
            <w:top w:val="none" w:sz="0" w:space="0" w:color="auto"/>
            <w:left w:val="none" w:sz="0" w:space="0" w:color="auto"/>
            <w:bottom w:val="none" w:sz="0" w:space="0" w:color="auto"/>
            <w:right w:val="none" w:sz="0" w:space="0" w:color="auto"/>
          </w:divBdr>
        </w:div>
      </w:divsChild>
    </w:div>
    <w:div w:id="350685564">
      <w:bodyDiv w:val="1"/>
      <w:marLeft w:val="0"/>
      <w:marRight w:val="0"/>
      <w:marTop w:val="0"/>
      <w:marBottom w:val="0"/>
      <w:divBdr>
        <w:top w:val="none" w:sz="0" w:space="0" w:color="auto"/>
        <w:left w:val="none" w:sz="0" w:space="0" w:color="auto"/>
        <w:bottom w:val="none" w:sz="0" w:space="0" w:color="auto"/>
        <w:right w:val="none" w:sz="0" w:space="0" w:color="auto"/>
      </w:divBdr>
    </w:div>
    <w:div w:id="389959734">
      <w:bodyDiv w:val="1"/>
      <w:marLeft w:val="0"/>
      <w:marRight w:val="0"/>
      <w:marTop w:val="0"/>
      <w:marBottom w:val="0"/>
      <w:divBdr>
        <w:top w:val="none" w:sz="0" w:space="0" w:color="auto"/>
        <w:left w:val="none" w:sz="0" w:space="0" w:color="auto"/>
        <w:bottom w:val="none" w:sz="0" w:space="0" w:color="auto"/>
        <w:right w:val="none" w:sz="0" w:space="0" w:color="auto"/>
      </w:divBdr>
    </w:div>
    <w:div w:id="392696824">
      <w:bodyDiv w:val="1"/>
      <w:marLeft w:val="0"/>
      <w:marRight w:val="0"/>
      <w:marTop w:val="0"/>
      <w:marBottom w:val="0"/>
      <w:divBdr>
        <w:top w:val="none" w:sz="0" w:space="0" w:color="auto"/>
        <w:left w:val="none" w:sz="0" w:space="0" w:color="auto"/>
        <w:bottom w:val="none" w:sz="0" w:space="0" w:color="auto"/>
        <w:right w:val="none" w:sz="0" w:space="0" w:color="auto"/>
      </w:divBdr>
    </w:div>
    <w:div w:id="451246806">
      <w:bodyDiv w:val="1"/>
      <w:marLeft w:val="0"/>
      <w:marRight w:val="0"/>
      <w:marTop w:val="0"/>
      <w:marBottom w:val="0"/>
      <w:divBdr>
        <w:top w:val="none" w:sz="0" w:space="0" w:color="auto"/>
        <w:left w:val="none" w:sz="0" w:space="0" w:color="auto"/>
        <w:bottom w:val="none" w:sz="0" w:space="0" w:color="auto"/>
        <w:right w:val="none" w:sz="0" w:space="0" w:color="auto"/>
      </w:divBdr>
    </w:div>
    <w:div w:id="493492855">
      <w:bodyDiv w:val="1"/>
      <w:marLeft w:val="0"/>
      <w:marRight w:val="0"/>
      <w:marTop w:val="0"/>
      <w:marBottom w:val="0"/>
      <w:divBdr>
        <w:top w:val="none" w:sz="0" w:space="0" w:color="auto"/>
        <w:left w:val="none" w:sz="0" w:space="0" w:color="auto"/>
        <w:bottom w:val="none" w:sz="0" w:space="0" w:color="auto"/>
        <w:right w:val="none" w:sz="0" w:space="0" w:color="auto"/>
      </w:divBdr>
    </w:div>
    <w:div w:id="524292097">
      <w:bodyDiv w:val="1"/>
      <w:marLeft w:val="0"/>
      <w:marRight w:val="0"/>
      <w:marTop w:val="0"/>
      <w:marBottom w:val="0"/>
      <w:divBdr>
        <w:top w:val="none" w:sz="0" w:space="0" w:color="auto"/>
        <w:left w:val="none" w:sz="0" w:space="0" w:color="auto"/>
        <w:bottom w:val="none" w:sz="0" w:space="0" w:color="auto"/>
        <w:right w:val="none" w:sz="0" w:space="0" w:color="auto"/>
      </w:divBdr>
    </w:div>
    <w:div w:id="552426266">
      <w:bodyDiv w:val="1"/>
      <w:marLeft w:val="0"/>
      <w:marRight w:val="0"/>
      <w:marTop w:val="0"/>
      <w:marBottom w:val="0"/>
      <w:divBdr>
        <w:top w:val="none" w:sz="0" w:space="0" w:color="auto"/>
        <w:left w:val="none" w:sz="0" w:space="0" w:color="auto"/>
        <w:bottom w:val="none" w:sz="0" w:space="0" w:color="auto"/>
        <w:right w:val="none" w:sz="0" w:space="0" w:color="auto"/>
      </w:divBdr>
    </w:div>
    <w:div w:id="561137181">
      <w:bodyDiv w:val="1"/>
      <w:marLeft w:val="0"/>
      <w:marRight w:val="0"/>
      <w:marTop w:val="0"/>
      <w:marBottom w:val="0"/>
      <w:divBdr>
        <w:top w:val="none" w:sz="0" w:space="0" w:color="auto"/>
        <w:left w:val="none" w:sz="0" w:space="0" w:color="auto"/>
        <w:bottom w:val="none" w:sz="0" w:space="0" w:color="auto"/>
        <w:right w:val="none" w:sz="0" w:space="0" w:color="auto"/>
      </w:divBdr>
    </w:div>
    <w:div w:id="611520154">
      <w:bodyDiv w:val="1"/>
      <w:marLeft w:val="0"/>
      <w:marRight w:val="0"/>
      <w:marTop w:val="0"/>
      <w:marBottom w:val="0"/>
      <w:divBdr>
        <w:top w:val="none" w:sz="0" w:space="0" w:color="auto"/>
        <w:left w:val="none" w:sz="0" w:space="0" w:color="auto"/>
        <w:bottom w:val="none" w:sz="0" w:space="0" w:color="auto"/>
        <w:right w:val="none" w:sz="0" w:space="0" w:color="auto"/>
      </w:divBdr>
    </w:div>
    <w:div w:id="612899759">
      <w:bodyDiv w:val="1"/>
      <w:marLeft w:val="0"/>
      <w:marRight w:val="0"/>
      <w:marTop w:val="0"/>
      <w:marBottom w:val="0"/>
      <w:divBdr>
        <w:top w:val="none" w:sz="0" w:space="0" w:color="auto"/>
        <w:left w:val="none" w:sz="0" w:space="0" w:color="auto"/>
        <w:bottom w:val="none" w:sz="0" w:space="0" w:color="auto"/>
        <w:right w:val="none" w:sz="0" w:space="0" w:color="auto"/>
      </w:divBdr>
    </w:div>
    <w:div w:id="626085218">
      <w:bodyDiv w:val="1"/>
      <w:marLeft w:val="0"/>
      <w:marRight w:val="0"/>
      <w:marTop w:val="0"/>
      <w:marBottom w:val="0"/>
      <w:divBdr>
        <w:top w:val="none" w:sz="0" w:space="0" w:color="auto"/>
        <w:left w:val="none" w:sz="0" w:space="0" w:color="auto"/>
        <w:bottom w:val="none" w:sz="0" w:space="0" w:color="auto"/>
        <w:right w:val="none" w:sz="0" w:space="0" w:color="auto"/>
      </w:divBdr>
    </w:div>
    <w:div w:id="657002440">
      <w:bodyDiv w:val="1"/>
      <w:marLeft w:val="0"/>
      <w:marRight w:val="0"/>
      <w:marTop w:val="0"/>
      <w:marBottom w:val="0"/>
      <w:divBdr>
        <w:top w:val="none" w:sz="0" w:space="0" w:color="auto"/>
        <w:left w:val="none" w:sz="0" w:space="0" w:color="auto"/>
        <w:bottom w:val="none" w:sz="0" w:space="0" w:color="auto"/>
        <w:right w:val="none" w:sz="0" w:space="0" w:color="auto"/>
      </w:divBdr>
    </w:div>
    <w:div w:id="780035377">
      <w:bodyDiv w:val="1"/>
      <w:marLeft w:val="0"/>
      <w:marRight w:val="0"/>
      <w:marTop w:val="0"/>
      <w:marBottom w:val="0"/>
      <w:divBdr>
        <w:top w:val="none" w:sz="0" w:space="0" w:color="auto"/>
        <w:left w:val="none" w:sz="0" w:space="0" w:color="auto"/>
        <w:bottom w:val="none" w:sz="0" w:space="0" w:color="auto"/>
        <w:right w:val="none" w:sz="0" w:space="0" w:color="auto"/>
      </w:divBdr>
    </w:div>
    <w:div w:id="791554520">
      <w:bodyDiv w:val="1"/>
      <w:marLeft w:val="0"/>
      <w:marRight w:val="0"/>
      <w:marTop w:val="0"/>
      <w:marBottom w:val="0"/>
      <w:divBdr>
        <w:top w:val="none" w:sz="0" w:space="0" w:color="auto"/>
        <w:left w:val="none" w:sz="0" w:space="0" w:color="auto"/>
        <w:bottom w:val="none" w:sz="0" w:space="0" w:color="auto"/>
        <w:right w:val="none" w:sz="0" w:space="0" w:color="auto"/>
      </w:divBdr>
    </w:div>
    <w:div w:id="794523168">
      <w:bodyDiv w:val="1"/>
      <w:marLeft w:val="0"/>
      <w:marRight w:val="0"/>
      <w:marTop w:val="0"/>
      <w:marBottom w:val="0"/>
      <w:divBdr>
        <w:top w:val="none" w:sz="0" w:space="0" w:color="auto"/>
        <w:left w:val="none" w:sz="0" w:space="0" w:color="auto"/>
        <w:bottom w:val="none" w:sz="0" w:space="0" w:color="auto"/>
        <w:right w:val="none" w:sz="0" w:space="0" w:color="auto"/>
      </w:divBdr>
    </w:div>
    <w:div w:id="810177885">
      <w:bodyDiv w:val="1"/>
      <w:marLeft w:val="0"/>
      <w:marRight w:val="0"/>
      <w:marTop w:val="0"/>
      <w:marBottom w:val="0"/>
      <w:divBdr>
        <w:top w:val="none" w:sz="0" w:space="0" w:color="auto"/>
        <w:left w:val="none" w:sz="0" w:space="0" w:color="auto"/>
        <w:bottom w:val="none" w:sz="0" w:space="0" w:color="auto"/>
        <w:right w:val="none" w:sz="0" w:space="0" w:color="auto"/>
      </w:divBdr>
    </w:div>
    <w:div w:id="814370226">
      <w:bodyDiv w:val="1"/>
      <w:marLeft w:val="0"/>
      <w:marRight w:val="0"/>
      <w:marTop w:val="0"/>
      <w:marBottom w:val="0"/>
      <w:divBdr>
        <w:top w:val="none" w:sz="0" w:space="0" w:color="auto"/>
        <w:left w:val="none" w:sz="0" w:space="0" w:color="auto"/>
        <w:bottom w:val="none" w:sz="0" w:space="0" w:color="auto"/>
        <w:right w:val="none" w:sz="0" w:space="0" w:color="auto"/>
      </w:divBdr>
    </w:div>
    <w:div w:id="855726711">
      <w:bodyDiv w:val="1"/>
      <w:marLeft w:val="0"/>
      <w:marRight w:val="0"/>
      <w:marTop w:val="0"/>
      <w:marBottom w:val="0"/>
      <w:divBdr>
        <w:top w:val="none" w:sz="0" w:space="0" w:color="auto"/>
        <w:left w:val="none" w:sz="0" w:space="0" w:color="auto"/>
        <w:bottom w:val="none" w:sz="0" w:space="0" w:color="auto"/>
        <w:right w:val="none" w:sz="0" w:space="0" w:color="auto"/>
      </w:divBdr>
    </w:div>
    <w:div w:id="887571006">
      <w:bodyDiv w:val="1"/>
      <w:marLeft w:val="0"/>
      <w:marRight w:val="0"/>
      <w:marTop w:val="0"/>
      <w:marBottom w:val="0"/>
      <w:divBdr>
        <w:top w:val="none" w:sz="0" w:space="0" w:color="auto"/>
        <w:left w:val="none" w:sz="0" w:space="0" w:color="auto"/>
        <w:bottom w:val="none" w:sz="0" w:space="0" w:color="auto"/>
        <w:right w:val="none" w:sz="0" w:space="0" w:color="auto"/>
      </w:divBdr>
    </w:div>
    <w:div w:id="914899821">
      <w:bodyDiv w:val="1"/>
      <w:marLeft w:val="0"/>
      <w:marRight w:val="0"/>
      <w:marTop w:val="0"/>
      <w:marBottom w:val="0"/>
      <w:divBdr>
        <w:top w:val="none" w:sz="0" w:space="0" w:color="auto"/>
        <w:left w:val="none" w:sz="0" w:space="0" w:color="auto"/>
        <w:bottom w:val="none" w:sz="0" w:space="0" w:color="auto"/>
        <w:right w:val="none" w:sz="0" w:space="0" w:color="auto"/>
      </w:divBdr>
    </w:div>
    <w:div w:id="943731241">
      <w:bodyDiv w:val="1"/>
      <w:marLeft w:val="0"/>
      <w:marRight w:val="0"/>
      <w:marTop w:val="0"/>
      <w:marBottom w:val="0"/>
      <w:divBdr>
        <w:top w:val="none" w:sz="0" w:space="0" w:color="auto"/>
        <w:left w:val="none" w:sz="0" w:space="0" w:color="auto"/>
        <w:bottom w:val="none" w:sz="0" w:space="0" w:color="auto"/>
        <w:right w:val="none" w:sz="0" w:space="0" w:color="auto"/>
      </w:divBdr>
    </w:div>
    <w:div w:id="982781878">
      <w:bodyDiv w:val="1"/>
      <w:marLeft w:val="0"/>
      <w:marRight w:val="0"/>
      <w:marTop w:val="0"/>
      <w:marBottom w:val="0"/>
      <w:divBdr>
        <w:top w:val="none" w:sz="0" w:space="0" w:color="auto"/>
        <w:left w:val="none" w:sz="0" w:space="0" w:color="auto"/>
        <w:bottom w:val="none" w:sz="0" w:space="0" w:color="auto"/>
        <w:right w:val="none" w:sz="0" w:space="0" w:color="auto"/>
      </w:divBdr>
    </w:div>
    <w:div w:id="1072310951">
      <w:bodyDiv w:val="1"/>
      <w:marLeft w:val="0"/>
      <w:marRight w:val="0"/>
      <w:marTop w:val="0"/>
      <w:marBottom w:val="0"/>
      <w:divBdr>
        <w:top w:val="none" w:sz="0" w:space="0" w:color="auto"/>
        <w:left w:val="none" w:sz="0" w:space="0" w:color="auto"/>
        <w:bottom w:val="none" w:sz="0" w:space="0" w:color="auto"/>
        <w:right w:val="none" w:sz="0" w:space="0" w:color="auto"/>
      </w:divBdr>
    </w:div>
    <w:div w:id="1076391821">
      <w:bodyDiv w:val="1"/>
      <w:marLeft w:val="0"/>
      <w:marRight w:val="0"/>
      <w:marTop w:val="0"/>
      <w:marBottom w:val="0"/>
      <w:divBdr>
        <w:top w:val="none" w:sz="0" w:space="0" w:color="auto"/>
        <w:left w:val="none" w:sz="0" w:space="0" w:color="auto"/>
        <w:bottom w:val="none" w:sz="0" w:space="0" w:color="auto"/>
        <w:right w:val="none" w:sz="0" w:space="0" w:color="auto"/>
      </w:divBdr>
    </w:div>
    <w:div w:id="1113745964">
      <w:bodyDiv w:val="1"/>
      <w:marLeft w:val="0"/>
      <w:marRight w:val="0"/>
      <w:marTop w:val="0"/>
      <w:marBottom w:val="0"/>
      <w:divBdr>
        <w:top w:val="none" w:sz="0" w:space="0" w:color="auto"/>
        <w:left w:val="none" w:sz="0" w:space="0" w:color="auto"/>
        <w:bottom w:val="none" w:sz="0" w:space="0" w:color="auto"/>
        <w:right w:val="none" w:sz="0" w:space="0" w:color="auto"/>
      </w:divBdr>
    </w:div>
    <w:div w:id="1150056531">
      <w:bodyDiv w:val="1"/>
      <w:marLeft w:val="0"/>
      <w:marRight w:val="0"/>
      <w:marTop w:val="0"/>
      <w:marBottom w:val="0"/>
      <w:divBdr>
        <w:top w:val="none" w:sz="0" w:space="0" w:color="auto"/>
        <w:left w:val="none" w:sz="0" w:space="0" w:color="auto"/>
        <w:bottom w:val="none" w:sz="0" w:space="0" w:color="auto"/>
        <w:right w:val="none" w:sz="0" w:space="0" w:color="auto"/>
      </w:divBdr>
    </w:div>
    <w:div w:id="1237058017">
      <w:bodyDiv w:val="1"/>
      <w:marLeft w:val="0"/>
      <w:marRight w:val="0"/>
      <w:marTop w:val="0"/>
      <w:marBottom w:val="0"/>
      <w:divBdr>
        <w:top w:val="none" w:sz="0" w:space="0" w:color="auto"/>
        <w:left w:val="none" w:sz="0" w:space="0" w:color="auto"/>
        <w:bottom w:val="none" w:sz="0" w:space="0" w:color="auto"/>
        <w:right w:val="none" w:sz="0" w:space="0" w:color="auto"/>
      </w:divBdr>
    </w:div>
    <w:div w:id="1243949740">
      <w:bodyDiv w:val="1"/>
      <w:marLeft w:val="0"/>
      <w:marRight w:val="0"/>
      <w:marTop w:val="0"/>
      <w:marBottom w:val="0"/>
      <w:divBdr>
        <w:top w:val="none" w:sz="0" w:space="0" w:color="auto"/>
        <w:left w:val="none" w:sz="0" w:space="0" w:color="auto"/>
        <w:bottom w:val="none" w:sz="0" w:space="0" w:color="auto"/>
        <w:right w:val="none" w:sz="0" w:space="0" w:color="auto"/>
      </w:divBdr>
    </w:div>
    <w:div w:id="1312639433">
      <w:bodyDiv w:val="1"/>
      <w:marLeft w:val="0"/>
      <w:marRight w:val="0"/>
      <w:marTop w:val="0"/>
      <w:marBottom w:val="0"/>
      <w:divBdr>
        <w:top w:val="none" w:sz="0" w:space="0" w:color="auto"/>
        <w:left w:val="none" w:sz="0" w:space="0" w:color="auto"/>
        <w:bottom w:val="none" w:sz="0" w:space="0" w:color="auto"/>
        <w:right w:val="none" w:sz="0" w:space="0" w:color="auto"/>
      </w:divBdr>
    </w:div>
    <w:div w:id="1334532794">
      <w:bodyDiv w:val="1"/>
      <w:marLeft w:val="0"/>
      <w:marRight w:val="0"/>
      <w:marTop w:val="0"/>
      <w:marBottom w:val="0"/>
      <w:divBdr>
        <w:top w:val="none" w:sz="0" w:space="0" w:color="auto"/>
        <w:left w:val="none" w:sz="0" w:space="0" w:color="auto"/>
        <w:bottom w:val="none" w:sz="0" w:space="0" w:color="auto"/>
        <w:right w:val="none" w:sz="0" w:space="0" w:color="auto"/>
      </w:divBdr>
    </w:div>
    <w:div w:id="1334841624">
      <w:bodyDiv w:val="1"/>
      <w:marLeft w:val="0"/>
      <w:marRight w:val="0"/>
      <w:marTop w:val="0"/>
      <w:marBottom w:val="0"/>
      <w:divBdr>
        <w:top w:val="none" w:sz="0" w:space="0" w:color="auto"/>
        <w:left w:val="none" w:sz="0" w:space="0" w:color="auto"/>
        <w:bottom w:val="none" w:sz="0" w:space="0" w:color="auto"/>
        <w:right w:val="none" w:sz="0" w:space="0" w:color="auto"/>
      </w:divBdr>
    </w:div>
    <w:div w:id="1338845746">
      <w:bodyDiv w:val="1"/>
      <w:marLeft w:val="0"/>
      <w:marRight w:val="0"/>
      <w:marTop w:val="0"/>
      <w:marBottom w:val="0"/>
      <w:divBdr>
        <w:top w:val="none" w:sz="0" w:space="0" w:color="auto"/>
        <w:left w:val="none" w:sz="0" w:space="0" w:color="auto"/>
        <w:bottom w:val="none" w:sz="0" w:space="0" w:color="auto"/>
        <w:right w:val="none" w:sz="0" w:space="0" w:color="auto"/>
      </w:divBdr>
    </w:div>
    <w:div w:id="1375932930">
      <w:bodyDiv w:val="1"/>
      <w:marLeft w:val="0"/>
      <w:marRight w:val="0"/>
      <w:marTop w:val="0"/>
      <w:marBottom w:val="0"/>
      <w:divBdr>
        <w:top w:val="none" w:sz="0" w:space="0" w:color="auto"/>
        <w:left w:val="none" w:sz="0" w:space="0" w:color="auto"/>
        <w:bottom w:val="none" w:sz="0" w:space="0" w:color="auto"/>
        <w:right w:val="none" w:sz="0" w:space="0" w:color="auto"/>
      </w:divBdr>
    </w:div>
    <w:div w:id="1411737517">
      <w:bodyDiv w:val="1"/>
      <w:marLeft w:val="0"/>
      <w:marRight w:val="0"/>
      <w:marTop w:val="0"/>
      <w:marBottom w:val="0"/>
      <w:divBdr>
        <w:top w:val="none" w:sz="0" w:space="0" w:color="auto"/>
        <w:left w:val="none" w:sz="0" w:space="0" w:color="auto"/>
        <w:bottom w:val="none" w:sz="0" w:space="0" w:color="auto"/>
        <w:right w:val="none" w:sz="0" w:space="0" w:color="auto"/>
      </w:divBdr>
    </w:div>
    <w:div w:id="1426345161">
      <w:bodyDiv w:val="1"/>
      <w:marLeft w:val="0"/>
      <w:marRight w:val="0"/>
      <w:marTop w:val="0"/>
      <w:marBottom w:val="0"/>
      <w:divBdr>
        <w:top w:val="none" w:sz="0" w:space="0" w:color="auto"/>
        <w:left w:val="none" w:sz="0" w:space="0" w:color="auto"/>
        <w:bottom w:val="none" w:sz="0" w:space="0" w:color="auto"/>
        <w:right w:val="none" w:sz="0" w:space="0" w:color="auto"/>
      </w:divBdr>
    </w:div>
    <w:div w:id="1427263689">
      <w:bodyDiv w:val="1"/>
      <w:marLeft w:val="0"/>
      <w:marRight w:val="0"/>
      <w:marTop w:val="0"/>
      <w:marBottom w:val="0"/>
      <w:divBdr>
        <w:top w:val="none" w:sz="0" w:space="0" w:color="auto"/>
        <w:left w:val="none" w:sz="0" w:space="0" w:color="auto"/>
        <w:bottom w:val="none" w:sz="0" w:space="0" w:color="auto"/>
        <w:right w:val="none" w:sz="0" w:space="0" w:color="auto"/>
      </w:divBdr>
    </w:div>
    <w:div w:id="1591239004">
      <w:bodyDiv w:val="1"/>
      <w:marLeft w:val="0"/>
      <w:marRight w:val="0"/>
      <w:marTop w:val="0"/>
      <w:marBottom w:val="0"/>
      <w:divBdr>
        <w:top w:val="none" w:sz="0" w:space="0" w:color="auto"/>
        <w:left w:val="none" w:sz="0" w:space="0" w:color="auto"/>
        <w:bottom w:val="none" w:sz="0" w:space="0" w:color="auto"/>
        <w:right w:val="none" w:sz="0" w:space="0" w:color="auto"/>
      </w:divBdr>
    </w:div>
    <w:div w:id="1680502688">
      <w:bodyDiv w:val="1"/>
      <w:marLeft w:val="0"/>
      <w:marRight w:val="0"/>
      <w:marTop w:val="0"/>
      <w:marBottom w:val="0"/>
      <w:divBdr>
        <w:top w:val="none" w:sz="0" w:space="0" w:color="auto"/>
        <w:left w:val="none" w:sz="0" w:space="0" w:color="auto"/>
        <w:bottom w:val="none" w:sz="0" w:space="0" w:color="auto"/>
        <w:right w:val="none" w:sz="0" w:space="0" w:color="auto"/>
      </w:divBdr>
    </w:div>
    <w:div w:id="1701321438">
      <w:bodyDiv w:val="1"/>
      <w:marLeft w:val="0"/>
      <w:marRight w:val="0"/>
      <w:marTop w:val="0"/>
      <w:marBottom w:val="0"/>
      <w:divBdr>
        <w:top w:val="none" w:sz="0" w:space="0" w:color="auto"/>
        <w:left w:val="none" w:sz="0" w:space="0" w:color="auto"/>
        <w:bottom w:val="none" w:sz="0" w:space="0" w:color="auto"/>
        <w:right w:val="none" w:sz="0" w:space="0" w:color="auto"/>
      </w:divBdr>
    </w:div>
    <w:div w:id="1811284669">
      <w:bodyDiv w:val="1"/>
      <w:marLeft w:val="0"/>
      <w:marRight w:val="0"/>
      <w:marTop w:val="0"/>
      <w:marBottom w:val="0"/>
      <w:divBdr>
        <w:top w:val="none" w:sz="0" w:space="0" w:color="auto"/>
        <w:left w:val="none" w:sz="0" w:space="0" w:color="auto"/>
        <w:bottom w:val="none" w:sz="0" w:space="0" w:color="auto"/>
        <w:right w:val="none" w:sz="0" w:space="0" w:color="auto"/>
      </w:divBdr>
    </w:div>
    <w:div w:id="1871910911">
      <w:bodyDiv w:val="1"/>
      <w:marLeft w:val="0"/>
      <w:marRight w:val="0"/>
      <w:marTop w:val="0"/>
      <w:marBottom w:val="0"/>
      <w:divBdr>
        <w:top w:val="none" w:sz="0" w:space="0" w:color="auto"/>
        <w:left w:val="none" w:sz="0" w:space="0" w:color="auto"/>
        <w:bottom w:val="none" w:sz="0" w:space="0" w:color="auto"/>
        <w:right w:val="none" w:sz="0" w:space="0" w:color="auto"/>
      </w:divBdr>
    </w:div>
    <w:div w:id="1882551422">
      <w:bodyDiv w:val="1"/>
      <w:marLeft w:val="0"/>
      <w:marRight w:val="0"/>
      <w:marTop w:val="0"/>
      <w:marBottom w:val="0"/>
      <w:divBdr>
        <w:top w:val="none" w:sz="0" w:space="0" w:color="auto"/>
        <w:left w:val="none" w:sz="0" w:space="0" w:color="auto"/>
        <w:bottom w:val="none" w:sz="0" w:space="0" w:color="auto"/>
        <w:right w:val="none" w:sz="0" w:space="0" w:color="auto"/>
      </w:divBdr>
    </w:div>
    <w:div w:id="2024168139">
      <w:bodyDiv w:val="1"/>
      <w:marLeft w:val="0"/>
      <w:marRight w:val="0"/>
      <w:marTop w:val="0"/>
      <w:marBottom w:val="0"/>
      <w:divBdr>
        <w:top w:val="none" w:sz="0" w:space="0" w:color="auto"/>
        <w:left w:val="none" w:sz="0" w:space="0" w:color="auto"/>
        <w:bottom w:val="none" w:sz="0" w:space="0" w:color="auto"/>
        <w:right w:val="none" w:sz="0" w:space="0" w:color="auto"/>
      </w:divBdr>
    </w:div>
    <w:div w:id="2068335164">
      <w:bodyDiv w:val="1"/>
      <w:marLeft w:val="0"/>
      <w:marRight w:val="0"/>
      <w:marTop w:val="0"/>
      <w:marBottom w:val="0"/>
      <w:divBdr>
        <w:top w:val="none" w:sz="0" w:space="0" w:color="auto"/>
        <w:left w:val="none" w:sz="0" w:space="0" w:color="auto"/>
        <w:bottom w:val="none" w:sz="0" w:space="0" w:color="auto"/>
        <w:right w:val="none" w:sz="0" w:space="0" w:color="auto"/>
      </w:divBdr>
    </w:div>
    <w:div w:id="2097432361">
      <w:bodyDiv w:val="1"/>
      <w:marLeft w:val="0"/>
      <w:marRight w:val="0"/>
      <w:marTop w:val="0"/>
      <w:marBottom w:val="0"/>
      <w:divBdr>
        <w:top w:val="none" w:sz="0" w:space="0" w:color="auto"/>
        <w:left w:val="none" w:sz="0" w:space="0" w:color="auto"/>
        <w:bottom w:val="none" w:sz="0" w:space="0" w:color="auto"/>
        <w:right w:val="none" w:sz="0" w:space="0" w:color="auto"/>
      </w:divBdr>
    </w:div>
    <w:div w:id="2102603167">
      <w:bodyDiv w:val="1"/>
      <w:marLeft w:val="0"/>
      <w:marRight w:val="0"/>
      <w:marTop w:val="0"/>
      <w:marBottom w:val="0"/>
      <w:divBdr>
        <w:top w:val="none" w:sz="0" w:space="0" w:color="auto"/>
        <w:left w:val="none" w:sz="0" w:space="0" w:color="auto"/>
        <w:bottom w:val="none" w:sz="0" w:space="0" w:color="auto"/>
        <w:right w:val="none" w:sz="0" w:space="0" w:color="auto"/>
      </w:divBdr>
    </w:div>
    <w:div w:id="2111464028">
      <w:bodyDiv w:val="1"/>
      <w:marLeft w:val="0"/>
      <w:marRight w:val="0"/>
      <w:marTop w:val="0"/>
      <w:marBottom w:val="0"/>
      <w:divBdr>
        <w:top w:val="none" w:sz="0" w:space="0" w:color="auto"/>
        <w:left w:val="none" w:sz="0" w:space="0" w:color="auto"/>
        <w:bottom w:val="none" w:sz="0" w:space="0" w:color="auto"/>
        <w:right w:val="none" w:sz="0" w:space="0" w:color="auto"/>
      </w:divBdr>
    </w:div>
    <w:div w:id="214145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image" Target="media/image9.emf"/><Relationship Id="rId26" Type="http://schemas.openxmlformats.org/officeDocument/2006/relationships/image" Target="media/image17.png"/><Relationship Id="rId39" Type="http://schemas.openxmlformats.org/officeDocument/2006/relationships/image" Target="media/image30.emf"/><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image" Target="media/image25.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emf"/><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emf"/><Relationship Id="rId29" Type="http://schemas.openxmlformats.org/officeDocument/2006/relationships/image" Target="media/image20.e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emf"/><Relationship Id="rId36" Type="http://schemas.openxmlformats.org/officeDocument/2006/relationships/image" Target="media/image27.png"/><Relationship Id="rId10" Type="http://schemas.openxmlformats.org/officeDocument/2006/relationships/hyperlink" Target="http://www.efama.org" TargetMode="External"/><Relationship Id="rId19" Type="http://schemas.openxmlformats.org/officeDocument/2006/relationships/image" Target="media/image10.png"/><Relationship Id="rId31" Type="http://schemas.openxmlformats.org/officeDocument/2006/relationships/image" Target="media/image2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emf"/><Relationship Id="rId35" Type="http://schemas.openxmlformats.org/officeDocument/2006/relationships/image" Target="media/image26.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E38BA-43FA-435E-9C96-A68F7CC87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14</Pages>
  <Words>1544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lpstr>
    </vt:vector>
  </TitlesOfParts>
  <Company>EFAMA</Company>
  <LinksUpToDate>false</LinksUpToDate>
  <CharactersWithSpaces>9359</CharactersWithSpaces>
  <SharedDoc>false</SharedDoc>
  <HLinks>
    <vt:vector size="6" baseType="variant">
      <vt:variant>
        <vt:i4>4587527</vt:i4>
      </vt:variant>
      <vt:variant>
        <vt:i4>3</vt:i4>
      </vt:variant>
      <vt:variant>
        <vt:i4>0</vt:i4>
      </vt:variant>
      <vt:variant>
        <vt:i4>5</vt:i4>
      </vt:variant>
      <vt:variant>
        <vt:lpwstr>http://www.efama.org/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 Delbecque</dc:creator>
  <cp:keywords/>
  <dc:description/>
  <cp:lastModifiedBy>Thomas Tilley</cp:lastModifiedBy>
  <cp:revision>72</cp:revision>
  <cp:lastPrinted>2017-12-07T12:13:00Z</cp:lastPrinted>
  <dcterms:created xsi:type="dcterms:W3CDTF">2017-12-05T14:54:00Z</dcterms:created>
  <dcterms:modified xsi:type="dcterms:W3CDTF">2017-12-08T11:43:00Z</dcterms:modified>
</cp:coreProperties>
</file>