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DE0D" w14:textId="447D15E5" w:rsidR="00BE2045" w:rsidRDefault="00BE2045">
      <w:pPr>
        <w:pStyle w:val="Footer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BE2045" w:rsidRPr="00FD75CC" w14:paraId="72168F22" w14:textId="77777777">
        <w:trPr>
          <w:trHeight w:val="1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E6F" w14:textId="369FAE46" w:rsidR="00BE2045" w:rsidRPr="00FD75CC" w:rsidRDefault="00C15217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noProof/>
                <w:sz w:val="24"/>
                <w:szCs w:val="24"/>
                <w:lang w:val="nl-BE" w:eastAsia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73600" behindDoc="0" locked="0" layoutInCell="1" allowOverlap="1" wp14:anchorId="05B4F96B" wp14:editId="009EBD2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137160</wp:posOffset>
                  </wp:positionV>
                  <wp:extent cx="1835150" cy="100584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50678" w14:textId="77777777" w:rsidR="00C15217" w:rsidRDefault="00C15217">
            <w:pPr>
              <w:pStyle w:val="Footer"/>
              <w:spacing w:line="360" w:lineRule="auto"/>
              <w:jc w:val="right"/>
            </w:pPr>
          </w:p>
          <w:p w14:paraId="48BC64AB" w14:textId="3081ED84" w:rsidR="00C15217" w:rsidRDefault="00C15217">
            <w:pPr>
              <w:pStyle w:val="Footer"/>
              <w:spacing w:line="360" w:lineRule="auto"/>
              <w:jc w:val="right"/>
            </w:pPr>
            <w:r>
              <w:t xml:space="preserve"> </w:t>
            </w:r>
            <w:r w:rsidR="009D5D6A">
              <w:t xml:space="preserve">         </w:t>
            </w:r>
            <w:r w:rsidR="00C34563">
              <w:t xml:space="preserve">                        </w:t>
            </w:r>
            <w:r w:rsidR="009D5D6A">
              <w:t xml:space="preserve">        </w:t>
            </w:r>
            <w:r w:rsidR="00BE2045">
              <w:t xml:space="preserve"> </w:t>
            </w:r>
          </w:p>
          <w:p w14:paraId="7E166E8F" w14:textId="2D657DF2" w:rsidR="00C15217" w:rsidRDefault="00C15217">
            <w:pPr>
              <w:pStyle w:val="Footer"/>
              <w:spacing w:line="360" w:lineRule="auto"/>
              <w:jc w:val="right"/>
            </w:pPr>
          </w:p>
          <w:p w14:paraId="77401FF2" w14:textId="7E6EDCB8" w:rsidR="00BE2045" w:rsidRPr="00FD75CC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val="en-US"/>
              </w:rPr>
              <w:t>Quarterly Statistical Release</w:t>
            </w:r>
            <w:r w:rsidR="009D5D6A">
              <w:t xml:space="preserve"> </w:t>
            </w:r>
            <w:r>
              <w:t xml:space="preserve"> </w:t>
            </w:r>
          </w:p>
        </w:tc>
      </w:tr>
    </w:tbl>
    <w:p w14:paraId="667DEDE1" w14:textId="1A162909" w:rsidR="004B44B7" w:rsidRPr="00FD75CC" w:rsidRDefault="004B44B7">
      <w:pPr>
        <w:pStyle w:val="Footer"/>
        <w:spacing w:line="360" w:lineRule="auto"/>
        <w:jc w:val="right"/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BCB8D" w14:textId="4EEE3C8E" w:rsidR="00BE2045" w:rsidRDefault="009C3EB7">
      <w:pPr>
        <w:pStyle w:val="Footer"/>
        <w:spacing w:line="360" w:lineRule="auto"/>
        <w:jc w:val="right"/>
        <w:rPr>
          <w:rFonts w:ascii="Comic Sans MS" w:hAnsi="Comic Sans MS"/>
        </w:rPr>
      </w:pPr>
      <w:r w:rsidRPr="00FD75CC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September </w:t>
      </w:r>
      <w:r w:rsidR="001C2BB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957D0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E204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N° </w:t>
      </w:r>
      <w:r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957D0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D5C8889" w14:textId="210FA7A7" w:rsidR="00BE2045" w:rsidRDefault="00BE2045" w:rsidP="00104F7D">
      <w:pPr>
        <w:pStyle w:val="Footer"/>
        <w:jc w:val="right"/>
        <w:outlineLvl w:val="0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other statistical</w:t>
      </w:r>
    </w:p>
    <w:p w14:paraId="51EEBEF8" w14:textId="77777777" w:rsidR="00BE2045" w:rsidRDefault="00F652C2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releases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are available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</w:t>
      </w:r>
      <w:r w:rsidR="00BE2045">
        <w:rPr>
          <w:b/>
          <w:bCs/>
          <w:i/>
          <w:iCs/>
          <w:sz w:val="18"/>
          <w:szCs w:val="18"/>
          <w:lang w:val="en-US"/>
        </w:rPr>
        <w:t>fama’s</w:t>
      </w:r>
      <w:proofErr w:type="spellEnd"/>
    </w:p>
    <w:p w14:paraId="4F2109B5" w14:textId="77777777" w:rsidR="00BE2045" w:rsidRDefault="00BE2045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website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(</w:t>
      </w:r>
      <w:hyperlink r:id="rId9" w:history="1">
        <w:r>
          <w:rPr>
            <w:rStyle w:val="Hyperlink"/>
            <w:b/>
            <w:bCs/>
            <w:i/>
            <w:iCs/>
            <w:sz w:val="18"/>
            <w:szCs w:val="18"/>
          </w:rPr>
          <w:t>www.efama.org</w:t>
        </w:r>
      </w:hyperlink>
      <w:r>
        <w:rPr>
          <w:b/>
          <w:bCs/>
          <w:i/>
          <w:iCs/>
          <w:sz w:val="18"/>
          <w:szCs w:val="18"/>
          <w:lang w:val="en-US"/>
        </w:rPr>
        <w:t>)</w:t>
      </w:r>
    </w:p>
    <w:p w14:paraId="417E47E2" w14:textId="77777777" w:rsidR="00BE2045" w:rsidRDefault="00BE2045">
      <w:pPr>
        <w:pStyle w:val="Footer"/>
        <w:rPr>
          <w:b/>
          <w:bCs/>
          <w:i/>
          <w:iCs/>
          <w:sz w:val="18"/>
          <w:szCs w:val="18"/>
          <w:lang w:val="en-US"/>
        </w:rPr>
      </w:pPr>
    </w:p>
    <w:p w14:paraId="24988EDB" w14:textId="4C72C5EB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BAD34AA" w14:textId="3FB41B02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ECA0DB7" w14:textId="739ED620" w:rsidR="00BE2045" w:rsidRPr="00967D2C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87CE28B" w14:textId="77777777" w:rsidR="00BE2045" w:rsidRPr="00967D2C" w:rsidRDefault="00BE2045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A0BF01F" w14:textId="7B581D95" w:rsidR="00340C4D" w:rsidRDefault="00340C4D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707B864" w14:textId="5F86AD16" w:rsidR="00495840" w:rsidRDefault="0049584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2E39BA15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7A484BA" w14:textId="77777777" w:rsidR="00E31FD0" w:rsidRDefault="00E31FD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1ED3AD2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F65B70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3A1EA6AA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EC8C78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D84D03F" w14:textId="77777777" w:rsidR="00887A60" w:rsidRDefault="00887A6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B360AAD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1344908D" w14:textId="77777777" w:rsidR="00BE2045" w:rsidRDefault="00BE2045" w:rsidP="00104F7D">
      <w:pPr>
        <w:pStyle w:val="Footer"/>
        <w:jc w:val="center"/>
        <w:outlineLvl w:val="0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Trends in the European Investment Fund Industry</w:t>
      </w:r>
    </w:p>
    <w:p w14:paraId="486A34E2" w14:textId="77777777" w:rsidR="00BE2045" w:rsidRDefault="00BE2045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2D7B9CC4" w14:textId="77777777" w:rsidR="008F2549" w:rsidRDefault="002C628C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  <w:proofErr w:type="gramStart"/>
      <w:r>
        <w:rPr>
          <w:b/>
          <w:bCs/>
          <w:i/>
          <w:iCs/>
          <w:sz w:val="40"/>
          <w:szCs w:val="40"/>
          <w:lang w:val="en-US"/>
        </w:rPr>
        <w:t>in</w:t>
      </w:r>
      <w:proofErr w:type="gramEnd"/>
      <w:r w:rsidR="00F81F78">
        <w:rPr>
          <w:b/>
          <w:bCs/>
          <w:i/>
          <w:iCs/>
          <w:sz w:val="40"/>
          <w:szCs w:val="40"/>
          <w:lang w:val="en-US"/>
        </w:rPr>
        <w:t xml:space="preserve"> the </w:t>
      </w:r>
      <w:r w:rsidR="00C34563">
        <w:rPr>
          <w:b/>
          <w:bCs/>
          <w:i/>
          <w:iCs/>
          <w:sz w:val="40"/>
          <w:szCs w:val="40"/>
          <w:lang w:val="en-US"/>
        </w:rPr>
        <w:t>Second</w:t>
      </w:r>
      <w:r w:rsidR="004465FC">
        <w:rPr>
          <w:b/>
          <w:bCs/>
          <w:i/>
          <w:iCs/>
          <w:sz w:val="40"/>
          <w:szCs w:val="40"/>
          <w:lang w:val="en-US"/>
        </w:rPr>
        <w:t xml:space="preserve"> Quarter of 201</w:t>
      </w:r>
      <w:r w:rsidR="001957D0">
        <w:rPr>
          <w:b/>
          <w:bCs/>
          <w:i/>
          <w:iCs/>
          <w:sz w:val="40"/>
          <w:szCs w:val="40"/>
          <w:lang w:val="en-US"/>
        </w:rPr>
        <w:t>8</w:t>
      </w:r>
    </w:p>
    <w:p w14:paraId="7A39DCCC" w14:textId="77777777" w:rsidR="009A23FA" w:rsidRDefault="009A23F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18D876E6" w14:textId="77777777" w:rsidR="00767566" w:rsidRDefault="00767566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356018A" w14:textId="77777777" w:rsidR="00AC73EA" w:rsidRDefault="00AC73E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5585D682" w14:textId="77777777" w:rsidR="00C31FBE" w:rsidRDefault="00C31FBE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0A832F18" w14:textId="77777777" w:rsidR="00DA0EDA" w:rsidRDefault="00DA0ED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65B2547A" w14:textId="77777777" w:rsidR="005A704F" w:rsidRDefault="005A704F" w:rsidP="00473B0A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p w14:paraId="055FC555" w14:textId="77777777"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6220EC4" w14:textId="77777777" w:rsidR="008516E2" w:rsidRDefault="008516E2" w:rsidP="002175FD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E2045" w:rsidRPr="00C91E1C" w14:paraId="47C2B4F2" w14:textId="77777777">
        <w:trPr>
          <w:trHeight w:val="1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A95" w14:textId="77777777" w:rsidR="00BE2045" w:rsidRDefault="00BE2045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6A8D6C0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 xml:space="preserve">This report was prepared by </w:t>
            </w:r>
            <w:r w:rsidR="004465FC">
              <w:rPr>
                <w:b/>
                <w:bCs/>
                <w:sz w:val="18"/>
                <w:szCs w:val="16"/>
                <w:lang w:val="en-US"/>
              </w:rPr>
              <w:t>Bernard Delbecque and Thomas Tilley</w:t>
            </w:r>
          </w:p>
          <w:p w14:paraId="76436EAB" w14:textId="77777777" w:rsidR="00BE2045" w:rsidRDefault="00FD75CC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9E0DFC" wp14:editId="3D8B2B0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47625</wp:posOffset>
                      </wp:positionV>
                      <wp:extent cx="5038725" cy="0"/>
                      <wp:effectExtent l="0" t="0" r="0" b="0"/>
                      <wp:wrapSquare wrapText="bothSides"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61D6B" id="Line 4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75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pFw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">
                      <w10:wrap type="square"/>
                    </v:line>
                  </w:pict>
                </mc:Fallback>
              </mc:AlternateContent>
            </w:r>
          </w:p>
          <w:p w14:paraId="13F99E0B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EFAMA</w:t>
            </w:r>
          </w:p>
          <w:p w14:paraId="6A30D2A7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The European Fund and Asset Management Association</w:t>
            </w:r>
          </w:p>
          <w:p w14:paraId="6E0E3585" w14:textId="77777777" w:rsidR="00BE2045" w:rsidRDefault="00BE2045">
            <w:pPr>
              <w:pStyle w:val="Footer"/>
              <w:jc w:val="both"/>
              <w:rPr>
                <w:b/>
                <w:bCs/>
                <w:sz w:val="18"/>
                <w:szCs w:val="16"/>
                <w:lang w:val="en-US"/>
              </w:rPr>
            </w:pPr>
          </w:p>
          <w:p w14:paraId="32281BE4" w14:textId="77777777" w:rsidR="00BE2045" w:rsidRPr="00FD75CC" w:rsidRDefault="00495840">
            <w:pPr>
              <w:pStyle w:val="Footer"/>
              <w:spacing w:line="360" w:lineRule="auto"/>
              <w:jc w:val="center"/>
              <w:rPr>
                <w:b/>
                <w:bCs/>
                <w:sz w:val="18"/>
                <w:szCs w:val="24"/>
                <w:lang w:val="fr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8"/>
                <w:szCs w:val="16"/>
                <w:lang w:val="fr-BE"/>
              </w:rPr>
              <w:t xml:space="preserve">Rue </w:t>
            </w:r>
            <w:proofErr w:type="spellStart"/>
            <w:r>
              <w:rPr>
                <w:b/>
                <w:bCs/>
                <w:sz w:val="18"/>
                <w:szCs w:val="16"/>
                <w:lang w:val="fr-BE"/>
              </w:rPr>
              <w:t>Montoyer</w:t>
            </w:r>
            <w:proofErr w:type="spellEnd"/>
            <w:r>
              <w:rPr>
                <w:b/>
                <w:bCs/>
                <w:sz w:val="18"/>
                <w:szCs w:val="16"/>
                <w:lang w:val="fr-BE"/>
              </w:rPr>
              <w:t xml:space="preserve"> 47 - B-100</w:t>
            </w:r>
            <w:r w:rsidR="00BE2045">
              <w:rPr>
                <w:b/>
                <w:bCs/>
                <w:sz w:val="18"/>
                <w:szCs w:val="16"/>
                <w:lang w:val="fr-BE"/>
              </w:rPr>
              <w:t>0 BRUXELLES - Tel. 32-2-513.39.69 Fax: 32-2-513.26.43 - e-mail: info@efama.org</w:t>
            </w:r>
          </w:p>
        </w:tc>
      </w:tr>
    </w:tbl>
    <w:p w14:paraId="2AE165F7" w14:textId="77777777" w:rsidR="00A155D2" w:rsidRPr="005961BD" w:rsidRDefault="00AC73EA" w:rsidP="001142A5">
      <w:pPr>
        <w:pStyle w:val="Footer"/>
        <w:jc w:val="center"/>
        <w:outlineLvl w:val="0"/>
        <w:rPr>
          <w:lang w:val="fr-BE"/>
        </w:rPr>
      </w:pPr>
      <w:r w:rsidRPr="005961BD">
        <w:rPr>
          <w:b/>
          <w:bCs/>
          <w:sz w:val="28"/>
          <w:szCs w:val="28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5961BD">
        <w:rPr>
          <w:lang w:val="fr-BE"/>
        </w:rPr>
        <w:lastRenderedPageBreak/>
        <w:t xml:space="preserve"> </w:t>
      </w:r>
    </w:p>
    <w:p w14:paraId="241182CF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UCITS Market</w:t>
      </w:r>
    </w:p>
    <w:p w14:paraId="4ED3FD0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59E56AC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166FE49F" w14:textId="17A8C89A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UCITS recorded net inflows of EUR 1</w:t>
      </w:r>
      <w:r w:rsidR="001957D0">
        <w:rPr>
          <w:b/>
          <w:bCs/>
          <w:color w:val="0000FF"/>
          <w:sz w:val="22"/>
          <w:szCs w:val="22"/>
          <w:lang w:val="en-US"/>
        </w:rPr>
        <w:t>5</w:t>
      </w:r>
      <w:r>
        <w:rPr>
          <w:b/>
          <w:bCs/>
          <w:color w:val="0000FF"/>
          <w:sz w:val="22"/>
          <w:szCs w:val="22"/>
          <w:lang w:val="en-US"/>
        </w:rPr>
        <w:t xml:space="preserve"> billion during Q2 201</w:t>
      </w:r>
      <w:r w:rsidR="001957D0">
        <w:rPr>
          <w:b/>
          <w:bCs/>
          <w:color w:val="0000FF"/>
          <w:sz w:val="22"/>
          <w:szCs w:val="22"/>
          <w:lang w:val="en-US"/>
        </w:rPr>
        <w:t>8</w:t>
      </w:r>
      <w:r>
        <w:rPr>
          <w:b/>
          <w:bCs/>
          <w:color w:val="0000FF"/>
          <w:sz w:val="22"/>
          <w:szCs w:val="22"/>
          <w:lang w:val="en-US"/>
        </w:rPr>
        <w:t xml:space="preserve">, compared to EUR </w:t>
      </w:r>
      <w:r w:rsidR="001957D0">
        <w:rPr>
          <w:b/>
          <w:bCs/>
          <w:color w:val="0000FF"/>
          <w:sz w:val="22"/>
          <w:szCs w:val="22"/>
          <w:lang w:val="en-US"/>
        </w:rPr>
        <w:t>171</w:t>
      </w:r>
      <w:r>
        <w:rPr>
          <w:b/>
          <w:bCs/>
          <w:color w:val="0000FF"/>
          <w:sz w:val="22"/>
          <w:szCs w:val="22"/>
          <w:lang w:val="en-US"/>
        </w:rPr>
        <w:t xml:space="preserve"> billion in the first quarter of 201</w:t>
      </w:r>
      <w:r w:rsidR="001957D0">
        <w:rPr>
          <w:b/>
          <w:bCs/>
          <w:color w:val="0000FF"/>
          <w:sz w:val="22"/>
          <w:szCs w:val="22"/>
          <w:lang w:val="en-US"/>
        </w:rPr>
        <w:t>8</w:t>
      </w:r>
      <w:r>
        <w:rPr>
          <w:b/>
          <w:bCs/>
          <w:color w:val="0000FF"/>
          <w:sz w:val="22"/>
          <w:szCs w:val="22"/>
          <w:lang w:val="en-US"/>
        </w:rPr>
        <w:t>.</w:t>
      </w:r>
      <w:r w:rsidR="00AC5AAD">
        <w:rPr>
          <w:b/>
          <w:bCs/>
          <w:color w:val="0000FF"/>
          <w:sz w:val="22"/>
          <w:szCs w:val="22"/>
          <w:lang w:val="en-US"/>
        </w:rPr>
        <w:t xml:space="preserve"> </w:t>
      </w:r>
      <w:r w:rsidR="00AC5AAD" w:rsidRPr="00AC5AAD">
        <w:rPr>
          <w:b/>
          <w:bCs/>
          <w:color w:val="0000FF"/>
          <w:sz w:val="22"/>
          <w:szCs w:val="22"/>
          <w:lang w:val="en-US"/>
        </w:rPr>
        <w:t>In the first half of 201</w:t>
      </w:r>
      <w:r w:rsidR="001957D0">
        <w:rPr>
          <w:b/>
          <w:bCs/>
          <w:color w:val="0000FF"/>
          <w:sz w:val="22"/>
          <w:szCs w:val="22"/>
          <w:lang w:val="en-US"/>
        </w:rPr>
        <w:t>8</w:t>
      </w:r>
      <w:r w:rsidR="00AC5AAD" w:rsidRPr="00AC5AAD">
        <w:rPr>
          <w:b/>
          <w:bCs/>
          <w:color w:val="0000FF"/>
          <w:sz w:val="22"/>
          <w:szCs w:val="22"/>
          <w:lang w:val="en-US"/>
        </w:rPr>
        <w:t xml:space="preserve">, UCITS funds 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attracted EUR </w:t>
      </w:r>
      <w:r w:rsidR="00FD75CC" w:rsidRPr="00FD75CC">
        <w:rPr>
          <w:b/>
          <w:bCs/>
          <w:color w:val="0000FF"/>
          <w:sz w:val="22"/>
          <w:szCs w:val="22"/>
          <w:lang w:val="en-US"/>
        </w:rPr>
        <w:t>186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 billion in net new money, compared to EUR </w:t>
      </w:r>
      <w:r w:rsidR="00C91938">
        <w:rPr>
          <w:b/>
          <w:bCs/>
          <w:color w:val="0000FF"/>
          <w:sz w:val="22"/>
          <w:szCs w:val="22"/>
          <w:lang w:val="en-US"/>
        </w:rPr>
        <w:t>37</w:t>
      </w:r>
      <w:r w:rsidR="0094768B">
        <w:rPr>
          <w:b/>
          <w:bCs/>
          <w:color w:val="0000FF"/>
          <w:sz w:val="22"/>
          <w:szCs w:val="22"/>
          <w:lang w:val="en-US"/>
        </w:rPr>
        <w:t>9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 billion in </w:t>
      </w:r>
      <w:r w:rsidR="00C91938">
        <w:rPr>
          <w:b/>
          <w:bCs/>
          <w:color w:val="0000FF"/>
          <w:sz w:val="22"/>
          <w:szCs w:val="22"/>
          <w:lang w:val="en-US"/>
        </w:rPr>
        <w:t xml:space="preserve">first 6 months of 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>201</w:t>
      </w:r>
      <w:r w:rsidR="00FD75CC" w:rsidRPr="00FD75CC">
        <w:rPr>
          <w:b/>
          <w:bCs/>
          <w:color w:val="0000FF"/>
          <w:sz w:val="22"/>
          <w:szCs w:val="22"/>
          <w:lang w:val="en-US"/>
        </w:rPr>
        <w:t>7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>.</w:t>
      </w:r>
    </w:p>
    <w:p w14:paraId="5DA25CF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38D521DC" w14:textId="1E098C29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7D3A6C">
        <w:rPr>
          <w:bCs/>
          <w:color w:val="000000"/>
          <w:sz w:val="22"/>
          <w:szCs w:val="22"/>
        </w:rPr>
        <w:t xml:space="preserve">Long-term UCITS </w:t>
      </w:r>
      <w:r>
        <w:rPr>
          <w:bCs/>
          <w:color w:val="000000"/>
          <w:sz w:val="22"/>
          <w:szCs w:val="22"/>
        </w:rPr>
        <w:t xml:space="preserve">recorded net sales of EUR </w:t>
      </w:r>
      <w:r w:rsidR="00703C12">
        <w:rPr>
          <w:bCs/>
          <w:color w:val="000000"/>
          <w:sz w:val="22"/>
          <w:szCs w:val="22"/>
        </w:rPr>
        <w:t>33</w:t>
      </w:r>
      <w:r>
        <w:rPr>
          <w:bCs/>
          <w:color w:val="000000"/>
          <w:sz w:val="22"/>
          <w:szCs w:val="22"/>
        </w:rPr>
        <w:t xml:space="preserve"> billion in Q2 201</w:t>
      </w:r>
      <w:r w:rsidR="00703C12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, </w:t>
      </w:r>
      <w:r w:rsidR="00703C12">
        <w:rPr>
          <w:bCs/>
          <w:color w:val="000000"/>
          <w:sz w:val="22"/>
          <w:szCs w:val="22"/>
        </w:rPr>
        <w:t>down</w:t>
      </w:r>
      <w:r>
        <w:rPr>
          <w:bCs/>
          <w:color w:val="000000"/>
          <w:sz w:val="22"/>
          <w:szCs w:val="22"/>
        </w:rPr>
        <w:t xml:space="preserve"> from EUR 1</w:t>
      </w:r>
      <w:r w:rsidR="00703C12">
        <w:rPr>
          <w:bCs/>
          <w:color w:val="000000"/>
          <w:sz w:val="22"/>
          <w:szCs w:val="22"/>
        </w:rPr>
        <w:t>73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Q1 201</w:t>
      </w:r>
      <w:r w:rsidR="00703C12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Net sales of equity funds amounted to EUR </w:t>
      </w:r>
      <w:r w:rsidR="00703C12"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 xml:space="preserve"> billion, compared to EUR </w:t>
      </w:r>
      <w:r w:rsidR="00703C12">
        <w:rPr>
          <w:bCs/>
          <w:color w:val="000000"/>
          <w:sz w:val="22"/>
          <w:szCs w:val="22"/>
        </w:rPr>
        <w:t>85</w:t>
      </w:r>
      <w:r>
        <w:rPr>
          <w:bCs/>
          <w:color w:val="000000"/>
          <w:sz w:val="22"/>
          <w:szCs w:val="22"/>
        </w:rPr>
        <w:t xml:space="preserve"> billion in Q1 201</w:t>
      </w:r>
      <w:r w:rsidR="00703C12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>. Ne</w:t>
      </w:r>
      <w:r w:rsidRPr="00A7353F">
        <w:rPr>
          <w:bCs/>
          <w:color w:val="000000"/>
          <w:sz w:val="22"/>
          <w:szCs w:val="22"/>
        </w:rPr>
        <w:t>t sales of multi-asset funds</w:t>
      </w:r>
      <w:r>
        <w:rPr>
          <w:bCs/>
          <w:color w:val="000000"/>
          <w:sz w:val="22"/>
          <w:szCs w:val="22"/>
        </w:rPr>
        <w:t xml:space="preserve"> </w:t>
      </w:r>
      <w:r w:rsidR="00703C12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 xml:space="preserve">creased from EUR </w:t>
      </w:r>
      <w:r w:rsidR="00703C12">
        <w:rPr>
          <w:bCs/>
          <w:color w:val="000000"/>
          <w:sz w:val="22"/>
          <w:szCs w:val="22"/>
        </w:rPr>
        <w:t>56</w:t>
      </w:r>
      <w:r>
        <w:rPr>
          <w:bCs/>
          <w:color w:val="000000"/>
          <w:sz w:val="22"/>
          <w:szCs w:val="22"/>
        </w:rPr>
        <w:t xml:space="preserve"> billion in </w:t>
      </w:r>
      <w:r w:rsidR="00FD75CC">
        <w:rPr>
          <w:bCs/>
          <w:color w:val="000000"/>
          <w:sz w:val="22"/>
          <w:szCs w:val="22"/>
        </w:rPr>
        <w:t xml:space="preserve">the first quarter of 2018 </w:t>
      </w:r>
      <w:r>
        <w:rPr>
          <w:bCs/>
          <w:color w:val="000000"/>
          <w:sz w:val="22"/>
          <w:szCs w:val="22"/>
        </w:rPr>
        <w:t xml:space="preserve">to EUR </w:t>
      </w:r>
      <w:r w:rsidR="00703C12">
        <w:rPr>
          <w:bCs/>
          <w:color w:val="000000"/>
          <w:sz w:val="22"/>
          <w:szCs w:val="22"/>
        </w:rPr>
        <w:t>26</w:t>
      </w:r>
      <w:r>
        <w:rPr>
          <w:bCs/>
          <w:color w:val="000000"/>
          <w:sz w:val="22"/>
          <w:szCs w:val="22"/>
        </w:rPr>
        <w:t xml:space="preserve"> billion in Q2 201</w:t>
      </w:r>
      <w:r w:rsidR="00703C12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. </w:t>
      </w:r>
      <w:r w:rsidR="00564194">
        <w:rPr>
          <w:bCs/>
          <w:color w:val="000000"/>
          <w:sz w:val="22"/>
          <w:szCs w:val="22"/>
        </w:rPr>
        <w:t>B</w:t>
      </w:r>
      <w:r w:rsidR="00564194" w:rsidRPr="00A7353F">
        <w:rPr>
          <w:bCs/>
          <w:color w:val="000000"/>
          <w:sz w:val="22"/>
          <w:szCs w:val="22"/>
        </w:rPr>
        <w:t xml:space="preserve">ond </w:t>
      </w:r>
      <w:r w:rsidR="00564194">
        <w:rPr>
          <w:bCs/>
          <w:color w:val="000000"/>
          <w:sz w:val="22"/>
          <w:szCs w:val="22"/>
        </w:rPr>
        <w:t>funds</w:t>
      </w:r>
      <w:r w:rsidR="005961BD">
        <w:rPr>
          <w:bCs/>
          <w:color w:val="000000"/>
          <w:sz w:val="22"/>
          <w:szCs w:val="22"/>
        </w:rPr>
        <w:t xml:space="preserve"> shifted</w:t>
      </w:r>
      <w:r>
        <w:rPr>
          <w:bCs/>
          <w:color w:val="000000"/>
          <w:sz w:val="22"/>
          <w:szCs w:val="22"/>
        </w:rPr>
        <w:t xml:space="preserve"> from </w:t>
      </w:r>
      <w:r w:rsidR="00703C12">
        <w:rPr>
          <w:bCs/>
          <w:color w:val="000000"/>
          <w:sz w:val="22"/>
          <w:szCs w:val="22"/>
        </w:rPr>
        <w:t xml:space="preserve">net inflows of </w:t>
      </w:r>
      <w:r>
        <w:rPr>
          <w:bCs/>
          <w:color w:val="000000"/>
          <w:sz w:val="22"/>
          <w:szCs w:val="22"/>
        </w:rPr>
        <w:t xml:space="preserve">EUR </w:t>
      </w:r>
      <w:r w:rsidR="00703C12">
        <w:rPr>
          <w:bCs/>
          <w:color w:val="000000"/>
          <w:sz w:val="22"/>
          <w:szCs w:val="22"/>
        </w:rPr>
        <w:t>26</w:t>
      </w:r>
      <w:r>
        <w:rPr>
          <w:bCs/>
          <w:color w:val="000000"/>
          <w:sz w:val="22"/>
          <w:szCs w:val="22"/>
        </w:rPr>
        <w:t xml:space="preserve"> billion in Q1 to </w:t>
      </w:r>
      <w:r w:rsidR="00703C12">
        <w:rPr>
          <w:bCs/>
          <w:color w:val="000000"/>
          <w:sz w:val="22"/>
          <w:szCs w:val="22"/>
        </w:rPr>
        <w:t xml:space="preserve">net outflows of </w:t>
      </w:r>
      <w:r>
        <w:rPr>
          <w:bCs/>
          <w:color w:val="000000"/>
          <w:sz w:val="22"/>
          <w:szCs w:val="22"/>
        </w:rPr>
        <w:t xml:space="preserve">EUR </w:t>
      </w:r>
      <w:r w:rsidR="00703C12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billion in Q2 201</w:t>
      </w:r>
      <w:r w:rsidR="00703C12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. Net sales of money market fund </w:t>
      </w:r>
      <w:r w:rsidR="00703C12">
        <w:rPr>
          <w:bCs/>
          <w:color w:val="000000"/>
          <w:sz w:val="22"/>
          <w:szCs w:val="22"/>
        </w:rPr>
        <w:t xml:space="preserve">recorded net outflows </w:t>
      </w:r>
      <w:r>
        <w:rPr>
          <w:bCs/>
          <w:color w:val="000000"/>
          <w:sz w:val="22"/>
          <w:szCs w:val="22"/>
        </w:rPr>
        <w:t>of EUR 1</w:t>
      </w:r>
      <w:r w:rsidR="00703C12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 billion in Q2 201</w:t>
      </w:r>
      <w:r w:rsidR="00703C12">
        <w:rPr>
          <w:bCs/>
          <w:color w:val="000000"/>
          <w:sz w:val="22"/>
          <w:szCs w:val="22"/>
        </w:rPr>
        <w:t>8, compared to net outflows of 2 billion in Q1 2018</w:t>
      </w:r>
      <w:r>
        <w:rPr>
          <w:bCs/>
          <w:color w:val="000000"/>
          <w:sz w:val="22"/>
          <w:szCs w:val="22"/>
        </w:rPr>
        <w:t xml:space="preserve">.  </w:t>
      </w:r>
    </w:p>
    <w:p w14:paraId="6380BC40" w14:textId="77777777" w:rsidR="001142A5" w:rsidRDefault="00FD75CC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43904" behindDoc="0" locked="0" layoutInCell="1" allowOverlap="1" wp14:anchorId="1EFD9085" wp14:editId="009DF8EA">
            <wp:simplePos x="0" y="0"/>
            <wp:positionH relativeFrom="column">
              <wp:posOffset>-167640</wp:posOffset>
            </wp:positionH>
            <wp:positionV relativeFrom="paragraph">
              <wp:posOffset>179070</wp:posOffset>
            </wp:positionV>
            <wp:extent cx="3434715" cy="2088515"/>
            <wp:effectExtent l="0" t="0" r="0" b="0"/>
            <wp:wrapNone/>
            <wp:docPr id="2435" name="Picture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2E074" w14:textId="77777777" w:rsidR="001142A5" w:rsidRPr="00955553" w:rsidRDefault="00FD75CC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4928" behindDoc="0" locked="0" layoutInCell="1" allowOverlap="1" wp14:anchorId="4762DE22" wp14:editId="36F08FE0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3430905" cy="2088515"/>
            <wp:effectExtent l="0" t="0" r="0" b="0"/>
            <wp:wrapNone/>
            <wp:docPr id="2436" name="Picture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9AFFC" w14:textId="77777777" w:rsidR="001142A5" w:rsidRPr="00FD75CC" w:rsidRDefault="001142A5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3B53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DC4C1" w14:textId="77777777" w:rsidR="001142A5" w:rsidRPr="009F698C" w:rsidRDefault="001142A5" w:rsidP="001142A5"/>
    <w:p w14:paraId="445205A4" w14:textId="77777777" w:rsidR="001142A5" w:rsidRPr="009F698C" w:rsidRDefault="001142A5" w:rsidP="001142A5"/>
    <w:p w14:paraId="19AF4324" w14:textId="77777777" w:rsidR="001142A5" w:rsidRPr="009F698C" w:rsidRDefault="001142A5" w:rsidP="001142A5"/>
    <w:p w14:paraId="73AF7864" w14:textId="77777777" w:rsidR="001142A5" w:rsidRPr="009F698C" w:rsidRDefault="001142A5" w:rsidP="001142A5"/>
    <w:p w14:paraId="2DAA9D00" w14:textId="77777777" w:rsidR="001142A5" w:rsidRPr="009F698C" w:rsidRDefault="001142A5" w:rsidP="001142A5"/>
    <w:p w14:paraId="0555C878" w14:textId="77777777" w:rsidR="001142A5" w:rsidRPr="009F698C" w:rsidRDefault="001142A5" w:rsidP="001142A5"/>
    <w:p w14:paraId="46F8514D" w14:textId="77777777" w:rsidR="001142A5" w:rsidRPr="009F698C" w:rsidRDefault="001142A5" w:rsidP="001142A5"/>
    <w:p w14:paraId="3F53C92B" w14:textId="77777777" w:rsidR="001142A5" w:rsidRPr="009F698C" w:rsidRDefault="001142A5" w:rsidP="001142A5"/>
    <w:p w14:paraId="0C595A6E" w14:textId="77777777" w:rsidR="001142A5" w:rsidRPr="009F698C" w:rsidRDefault="001142A5" w:rsidP="001142A5"/>
    <w:p w14:paraId="5AEEDF56" w14:textId="77777777" w:rsidR="001142A5" w:rsidRPr="009F698C" w:rsidRDefault="00FD75CC" w:rsidP="001142A5">
      <w:r>
        <w:rPr>
          <w:noProof/>
          <w:lang w:val="nl-BE" w:eastAsia="nl-BE"/>
        </w:rPr>
        <w:drawing>
          <wp:anchor distT="0" distB="0" distL="114300" distR="114300" simplePos="0" relativeHeight="251648000" behindDoc="0" locked="0" layoutInCell="1" allowOverlap="1" wp14:anchorId="45CC5B4B" wp14:editId="4BD71AB2">
            <wp:simplePos x="0" y="0"/>
            <wp:positionH relativeFrom="column">
              <wp:posOffset>-253365</wp:posOffset>
            </wp:positionH>
            <wp:positionV relativeFrom="paragraph">
              <wp:posOffset>154305</wp:posOffset>
            </wp:positionV>
            <wp:extent cx="3510915" cy="2088515"/>
            <wp:effectExtent l="0" t="0" r="0" b="0"/>
            <wp:wrapNone/>
            <wp:docPr id="2448" name="Picture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ADAFC" w14:textId="77777777" w:rsidR="001142A5" w:rsidRPr="009F698C" w:rsidRDefault="00FD75CC" w:rsidP="001142A5">
      <w:r>
        <w:rPr>
          <w:noProof/>
          <w:lang w:val="nl-BE" w:eastAsia="nl-BE"/>
        </w:rPr>
        <w:drawing>
          <wp:anchor distT="0" distB="0" distL="114300" distR="114300" simplePos="0" relativeHeight="251645952" behindDoc="0" locked="0" layoutInCell="1" allowOverlap="1" wp14:anchorId="1627FF53" wp14:editId="177AD2C5">
            <wp:simplePos x="0" y="0"/>
            <wp:positionH relativeFrom="column">
              <wp:posOffset>3291840</wp:posOffset>
            </wp:positionH>
            <wp:positionV relativeFrom="paragraph">
              <wp:posOffset>7620</wp:posOffset>
            </wp:positionV>
            <wp:extent cx="3434715" cy="2088515"/>
            <wp:effectExtent l="0" t="0" r="0" b="0"/>
            <wp:wrapNone/>
            <wp:docPr id="2446" name="Picture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FA8DF" w14:textId="77777777" w:rsidR="001142A5" w:rsidRPr="009F698C" w:rsidRDefault="001142A5" w:rsidP="001142A5"/>
    <w:p w14:paraId="6FEE5D1C" w14:textId="77777777" w:rsidR="001142A5" w:rsidRPr="009F698C" w:rsidRDefault="001142A5" w:rsidP="001142A5"/>
    <w:p w14:paraId="2676DCCE" w14:textId="77777777" w:rsidR="001142A5" w:rsidRPr="009F698C" w:rsidRDefault="001142A5" w:rsidP="001142A5"/>
    <w:p w14:paraId="39019863" w14:textId="77777777" w:rsidR="001142A5" w:rsidRPr="009F698C" w:rsidRDefault="001142A5" w:rsidP="001142A5"/>
    <w:p w14:paraId="0D3FE7BB" w14:textId="77777777" w:rsidR="001142A5" w:rsidRPr="009F698C" w:rsidRDefault="001142A5" w:rsidP="001142A5"/>
    <w:p w14:paraId="67A9BBA3" w14:textId="77777777" w:rsidR="001142A5" w:rsidRDefault="001142A5" w:rsidP="001142A5">
      <w:pPr>
        <w:pStyle w:val="Footer"/>
        <w:jc w:val="center"/>
        <w:outlineLvl w:val="0"/>
      </w:pPr>
    </w:p>
    <w:p w14:paraId="759039B9" w14:textId="77777777" w:rsidR="001142A5" w:rsidRDefault="001142A5" w:rsidP="001142A5">
      <w:pPr>
        <w:pStyle w:val="Footer"/>
        <w:jc w:val="center"/>
        <w:outlineLvl w:val="0"/>
      </w:pPr>
    </w:p>
    <w:p w14:paraId="3903626C" w14:textId="77777777" w:rsidR="001142A5" w:rsidRDefault="001142A5" w:rsidP="001142A5">
      <w:pPr>
        <w:pStyle w:val="Footer"/>
        <w:tabs>
          <w:tab w:val="clear" w:pos="864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39895" w14:textId="505AD37B" w:rsidR="001142A5" w:rsidRPr="00FD75CC" w:rsidRDefault="00564194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9024" behindDoc="0" locked="0" layoutInCell="1" allowOverlap="1" wp14:anchorId="467EE607" wp14:editId="5D1A091A">
            <wp:simplePos x="0" y="0"/>
            <wp:positionH relativeFrom="column">
              <wp:posOffset>3259371</wp:posOffset>
            </wp:positionH>
            <wp:positionV relativeFrom="paragraph">
              <wp:posOffset>786130</wp:posOffset>
            </wp:positionV>
            <wp:extent cx="3554083" cy="2175377"/>
            <wp:effectExtent l="0" t="0" r="0" b="0"/>
            <wp:wrapNone/>
            <wp:docPr id="2449" name="Picture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83" cy="217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46976" behindDoc="0" locked="0" layoutInCell="1" allowOverlap="1" wp14:anchorId="172A2BF7" wp14:editId="476FF78A">
            <wp:simplePos x="0" y="0"/>
            <wp:positionH relativeFrom="column">
              <wp:posOffset>-217014</wp:posOffset>
            </wp:positionH>
            <wp:positionV relativeFrom="paragraph">
              <wp:posOffset>760371</wp:posOffset>
            </wp:positionV>
            <wp:extent cx="3515408" cy="2211705"/>
            <wp:effectExtent l="0" t="0" r="0" b="0"/>
            <wp:wrapNone/>
            <wp:docPr id="2447" name="Picture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83" cy="2212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A5" w:rsidRPr="009F698C">
        <w:br w:type="page"/>
      </w:r>
      <w:bookmarkStart w:id="0" w:name="OLE_LINK3"/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236173AF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6C9FB519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45F36695" w14:textId="77777777" w:rsidR="001142A5" w:rsidRDefault="00C513DE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Fourteen</w:t>
      </w:r>
      <w:r w:rsidR="00703C12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>countries registered</w:t>
      </w:r>
      <w:r w:rsidR="001142A5" w:rsidRPr="00783D39">
        <w:rPr>
          <w:b/>
          <w:color w:val="0000FF"/>
          <w:sz w:val="22"/>
          <w:szCs w:val="22"/>
          <w:lang w:eastAsia="fr-FR"/>
        </w:rPr>
        <w:t xml:space="preserve"> net inflows</w:t>
      </w:r>
      <w:r w:rsidR="001142A5">
        <w:rPr>
          <w:b/>
          <w:color w:val="0000FF"/>
          <w:sz w:val="22"/>
          <w:szCs w:val="22"/>
          <w:lang w:eastAsia="fr-FR"/>
        </w:rPr>
        <w:t xml:space="preserve"> into UCITS in the second quarter of 201</w:t>
      </w:r>
      <w:r>
        <w:rPr>
          <w:b/>
          <w:color w:val="0000FF"/>
          <w:sz w:val="22"/>
          <w:szCs w:val="22"/>
          <w:lang w:eastAsia="fr-FR"/>
        </w:rPr>
        <w:t>8</w:t>
      </w:r>
      <w:r w:rsidR="001142A5">
        <w:rPr>
          <w:b/>
          <w:color w:val="0000FF"/>
          <w:sz w:val="22"/>
          <w:szCs w:val="22"/>
          <w:lang w:eastAsia="fr-FR"/>
        </w:rPr>
        <w:t xml:space="preserve">, with </w:t>
      </w:r>
      <w:r>
        <w:rPr>
          <w:b/>
          <w:color w:val="0000FF"/>
          <w:sz w:val="22"/>
          <w:szCs w:val="22"/>
          <w:lang w:eastAsia="fr-FR"/>
        </w:rPr>
        <w:t>seven</w:t>
      </w:r>
      <w:r w:rsidR="001142A5">
        <w:rPr>
          <w:b/>
          <w:color w:val="0000FF"/>
          <w:sz w:val="22"/>
          <w:szCs w:val="22"/>
          <w:lang w:eastAsia="fr-FR"/>
        </w:rPr>
        <w:t xml:space="preserve"> countries recording net inflows above EUR 1 billion.</w:t>
      </w:r>
    </w:p>
    <w:p w14:paraId="25B34E8D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6AD94AB1" w14:textId="58093F12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The largest net inflows into UCITS were recorded in </w:t>
      </w:r>
      <w:r w:rsidR="00C513DE">
        <w:rPr>
          <w:sz w:val="22"/>
          <w:szCs w:val="22"/>
          <w:lang w:eastAsia="fr-FR"/>
        </w:rPr>
        <w:t>Ireland</w:t>
      </w:r>
      <w:r w:rsidR="00400550" w:rsidRPr="00400550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(EUR </w:t>
      </w:r>
      <w:r w:rsidR="00C513DE">
        <w:rPr>
          <w:sz w:val="22"/>
          <w:szCs w:val="22"/>
          <w:lang w:eastAsia="fr-FR"/>
        </w:rPr>
        <w:t xml:space="preserve">17 billion), </w:t>
      </w:r>
      <w:r w:rsidR="00623C83">
        <w:rPr>
          <w:sz w:val="22"/>
          <w:szCs w:val="22"/>
          <w:lang w:eastAsia="fr-FR"/>
        </w:rPr>
        <w:t>mainly due to</w:t>
      </w:r>
      <w:r w:rsidR="00623C83" w:rsidRPr="00623C83">
        <w:rPr>
          <w:sz w:val="22"/>
          <w:szCs w:val="22"/>
          <w:lang w:eastAsia="fr-FR"/>
        </w:rPr>
        <w:t xml:space="preserve"> strong inflows into equity funds</w:t>
      </w:r>
      <w:r w:rsidR="00623C83">
        <w:rPr>
          <w:sz w:val="22"/>
          <w:szCs w:val="22"/>
          <w:lang w:eastAsia="fr-FR"/>
        </w:rPr>
        <w:t xml:space="preserve">. </w:t>
      </w:r>
      <w:r w:rsidR="00C513DE">
        <w:rPr>
          <w:sz w:val="22"/>
          <w:szCs w:val="22"/>
          <w:lang w:eastAsia="fr-FR"/>
        </w:rPr>
        <w:t>Luxembourg</w:t>
      </w:r>
      <w:r w:rsidR="00400550" w:rsidRPr="00400550">
        <w:rPr>
          <w:sz w:val="22"/>
          <w:szCs w:val="22"/>
          <w:lang w:eastAsia="fr-FR"/>
        </w:rPr>
        <w:t xml:space="preserve"> </w:t>
      </w:r>
      <w:r w:rsidR="00424ABE">
        <w:rPr>
          <w:sz w:val="22"/>
          <w:szCs w:val="22"/>
          <w:lang w:eastAsia="fr-FR"/>
        </w:rPr>
        <w:t xml:space="preserve">took second place </w:t>
      </w:r>
      <w:r>
        <w:rPr>
          <w:sz w:val="22"/>
          <w:szCs w:val="22"/>
          <w:lang w:eastAsia="fr-FR"/>
        </w:rPr>
        <w:t xml:space="preserve">(EUR </w:t>
      </w:r>
      <w:r w:rsidR="00C513DE">
        <w:rPr>
          <w:sz w:val="22"/>
          <w:szCs w:val="22"/>
          <w:lang w:eastAsia="fr-FR"/>
        </w:rPr>
        <w:t>5</w:t>
      </w:r>
      <w:r>
        <w:rPr>
          <w:sz w:val="22"/>
          <w:szCs w:val="22"/>
          <w:lang w:eastAsia="fr-FR"/>
        </w:rPr>
        <w:t xml:space="preserve"> billion)</w:t>
      </w:r>
      <w:r w:rsidR="00276709">
        <w:rPr>
          <w:sz w:val="22"/>
          <w:szCs w:val="22"/>
          <w:lang w:eastAsia="fr-FR"/>
        </w:rPr>
        <w:t>, with inflows into equity funds</w:t>
      </w:r>
      <w:r>
        <w:rPr>
          <w:sz w:val="22"/>
          <w:szCs w:val="22"/>
          <w:lang w:eastAsia="fr-FR"/>
        </w:rPr>
        <w:t xml:space="preserve"> as well as </w:t>
      </w:r>
      <w:r w:rsidR="00382A02">
        <w:rPr>
          <w:sz w:val="22"/>
          <w:szCs w:val="22"/>
          <w:lang w:eastAsia="fr-FR"/>
        </w:rPr>
        <w:t xml:space="preserve">multi-asset </w:t>
      </w:r>
      <w:r w:rsidR="00A31822">
        <w:rPr>
          <w:sz w:val="22"/>
          <w:szCs w:val="22"/>
          <w:lang w:eastAsia="fr-FR"/>
        </w:rPr>
        <w:t>funds</w:t>
      </w:r>
      <w:r>
        <w:rPr>
          <w:sz w:val="22"/>
          <w:szCs w:val="22"/>
          <w:lang w:eastAsia="fr-FR"/>
        </w:rPr>
        <w:t xml:space="preserve">. </w:t>
      </w:r>
      <w:r w:rsidR="00382A02">
        <w:rPr>
          <w:sz w:val="22"/>
          <w:szCs w:val="22"/>
          <w:lang w:eastAsia="fr-FR"/>
        </w:rPr>
        <w:t xml:space="preserve">Spain </w:t>
      </w:r>
      <w:r>
        <w:rPr>
          <w:sz w:val="22"/>
          <w:szCs w:val="22"/>
          <w:lang w:eastAsia="fr-FR"/>
        </w:rPr>
        <w:t xml:space="preserve">registered </w:t>
      </w:r>
      <w:r w:rsidR="00260962">
        <w:rPr>
          <w:sz w:val="22"/>
          <w:szCs w:val="22"/>
          <w:lang w:eastAsia="fr-FR"/>
        </w:rPr>
        <w:t xml:space="preserve">net sales of </w:t>
      </w:r>
      <w:r>
        <w:rPr>
          <w:sz w:val="22"/>
          <w:szCs w:val="22"/>
          <w:lang w:eastAsia="fr-FR"/>
        </w:rPr>
        <w:t xml:space="preserve">EUR </w:t>
      </w:r>
      <w:r w:rsidR="00382A02">
        <w:rPr>
          <w:sz w:val="22"/>
          <w:szCs w:val="22"/>
          <w:lang w:eastAsia="fr-FR"/>
        </w:rPr>
        <w:t>3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billion, followed by </w:t>
      </w:r>
      <w:r w:rsidR="00382A02">
        <w:rPr>
          <w:sz w:val="22"/>
          <w:szCs w:val="22"/>
          <w:lang w:eastAsia="fr-FR"/>
        </w:rPr>
        <w:t>Sweden</w:t>
      </w:r>
      <w:r>
        <w:rPr>
          <w:sz w:val="22"/>
          <w:szCs w:val="22"/>
          <w:lang w:eastAsia="fr-FR"/>
        </w:rPr>
        <w:t xml:space="preserve"> (EUR </w:t>
      </w:r>
      <w:r w:rsidR="00382A02">
        <w:rPr>
          <w:sz w:val="22"/>
          <w:szCs w:val="22"/>
          <w:lang w:eastAsia="fr-FR"/>
        </w:rPr>
        <w:t>2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billion) and </w:t>
      </w:r>
      <w:r w:rsidR="00382A02">
        <w:rPr>
          <w:sz w:val="22"/>
          <w:szCs w:val="22"/>
          <w:lang w:eastAsia="fr-FR"/>
        </w:rPr>
        <w:t>Norway</w:t>
      </w:r>
      <w:r>
        <w:rPr>
          <w:sz w:val="22"/>
          <w:szCs w:val="22"/>
          <w:lang w:eastAsia="fr-FR"/>
        </w:rPr>
        <w:t xml:space="preserve"> (EUR </w:t>
      </w:r>
      <w:r w:rsidR="00382A02">
        <w:rPr>
          <w:sz w:val="22"/>
          <w:szCs w:val="22"/>
          <w:lang w:eastAsia="fr-FR"/>
        </w:rPr>
        <w:t>2</w:t>
      </w:r>
      <w:r>
        <w:rPr>
          <w:sz w:val="22"/>
          <w:szCs w:val="22"/>
          <w:lang w:eastAsia="fr-FR"/>
        </w:rPr>
        <w:t xml:space="preserve"> billion). The largest </w:t>
      </w:r>
      <w:r w:rsidR="000F4E8E">
        <w:rPr>
          <w:sz w:val="22"/>
          <w:szCs w:val="22"/>
          <w:lang w:eastAsia="fr-FR"/>
        </w:rPr>
        <w:t xml:space="preserve">net </w:t>
      </w:r>
      <w:r>
        <w:rPr>
          <w:sz w:val="22"/>
          <w:szCs w:val="22"/>
          <w:lang w:eastAsia="fr-FR"/>
        </w:rPr>
        <w:t>outflows in Q2 201</w:t>
      </w:r>
      <w:r w:rsidR="00382A02">
        <w:rPr>
          <w:sz w:val="22"/>
          <w:szCs w:val="22"/>
          <w:lang w:eastAsia="fr-FR"/>
        </w:rPr>
        <w:t>8</w:t>
      </w:r>
      <w:r>
        <w:rPr>
          <w:sz w:val="22"/>
          <w:szCs w:val="22"/>
          <w:lang w:eastAsia="fr-FR"/>
        </w:rPr>
        <w:t xml:space="preserve"> were recorded in France (EUR </w:t>
      </w:r>
      <w:r w:rsidR="00382A02">
        <w:rPr>
          <w:sz w:val="22"/>
          <w:szCs w:val="22"/>
          <w:lang w:eastAsia="fr-FR"/>
        </w:rPr>
        <w:t>9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billion), </w:t>
      </w:r>
      <w:r w:rsidRPr="00F778A9">
        <w:rPr>
          <w:sz w:val="22"/>
          <w:szCs w:val="22"/>
          <w:lang w:eastAsia="fr-FR"/>
        </w:rPr>
        <w:t>primarily due to withdrawals from money market funds.</w:t>
      </w:r>
      <w:r>
        <w:rPr>
          <w:sz w:val="22"/>
          <w:szCs w:val="22"/>
          <w:lang w:eastAsia="fr-FR"/>
        </w:rPr>
        <w:t xml:space="preserve"> </w:t>
      </w:r>
    </w:p>
    <w:p w14:paraId="2D134F7B" w14:textId="77777777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58DCD9CE" w14:textId="5519C0E0" w:rsidR="001142A5" w:rsidRPr="00E4443A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So far</w:t>
      </w:r>
      <w:r w:rsidR="00AC5AAD">
        <w:rPr>
          <w:sz w:val="22"/>
          <w:szCs w:val="22"/>
          <w:lang w:eastAsia="fr-FR"/>
        </w:rPr>
        <w:t xml:space="preserve"> in 201</w:t>
      </w:r>
      <w:r w:rsidR="00382A02">
        <w:rPr>
          <w:sz w:val="22"/>
          <w:szCs w:val="22"/>
          <w:lang w:eastAsia="fr-FR"/>
        </w:rPr>
        <w:t>8</w:t>
      </w:r>
      <w:r>
        <w:rPr>
          <w:sz w:val="22"/>
          <w:szCs w:val="22"/>
          <w:lang w:eastAsia="fr-FR"/>
        </w:rPr>
        <w:t xml:space="preserve">, </w:t>
      </w:r>
      <w:r w:rsidR="00382A02">
        <w:rPr>
          <w:sz w:val="22"/>
          <w:szCs w:val="22"/>
          <w:lang w:eastAsia="fr-FR"/>
        </w:rPr>
        <w:t>equity</w:t>
      </w:r>
      <w:r>
        <w:rPr>
          <w:sz w:val="22"/>
          <w:szCs w:val="22"/>
          <w:lang w:eastAsia="fr-FR"/>
        </w:rPr>
        <w:t xml:space="preserve"> funds and multi-asset funds have attracted </w:t>
      </w:r>
      <w:r w:rsidR="00C91E1C">
        <w:rPr>
          <w:sz w:val="22"/>
          <w:szCs w:val="22"/>
          <w:lang w:eastAsia="fr-FR"/>
        </w:rPr>
        <w:t>largest levels of net sales,</w:t>
      </w:r>
      <w:r>
        <w:rPr>
          <w:sz w:val="22"/>
          <w:szCs w:val="22"/>
          <w:lang w:eastAsia="fr-FR"/>
        </w:rPr>
        <w:t xml:space="preserve"> EUR </w:t>
      </w:r>
      <w:r w:rsidR="00382A02">
        <w:rPr>
          <w:sz w:val="22"/>
          <w:szCs w:val="22"/>
          <w:lang w:eastAsia="fr-FR"/>
        </w:rPr>
        <w:t>96</w:t>
      </w:r>
      <w:r>
        <w:rPr>
          <w:sz w:val="22"/>
          <w:szCs w:val="22"/>
          <w:lang w:eastAsia="fr-FR"/>
        </w:rPr>
        <w:t xml:space="preserve"> billion and EUR </w:t>
      </w:r>
      <w:r w:rsidR="00382A02">
        <w:rPr>
          <w:sz w:val="22"/>
          <w:szCs w:val="22"/>
          <w:lang w:eastAsia="fr-FR"/>
        </w:rPr>
        <w:t>8</w:t>
      </w:r>
      <w:r>
        <w:rPr>
          <w:sz w:val="22"/>
          <w:szCs w:val="22"/>
          <w:lang w:eastAsia="fr-FR"/>
        </w:rPr>
        <w:t>2 billion, respectively.</w:t>
      </w:r>
    </w:p>
    <w:p w14:paraId="2B9C8F8D" w14:textId="77777777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BD44A" w14:textId="5B768A3A" w:rsidR="001142A5" w:rsidRPr="00FD75CC" w:rsidRDefault="00442FAF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2FAF">
        <w:rPr>
          <w:noProof/>
          <w:lang w:val="nl-BE" w:eastAsia="nl-BE"/>
        </w:rPr>
        <w:drawing>
          <wp:anchor distT="0" distB="0" distL="114300" distR="114300" simplePos="0" relativeHeight="251682816" behindDoc="0" locked="0" layoutInCell="1" allowOverlap="1" wp14:anchorId="7227DC9A" wp14:editId="5672CD78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6264000" cy="59508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59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024BD9FA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and Net Assets of ETF by Country of Domiciliation </w:t>
      </w:r>
    </w:p>
    <w:p w14:paraId="32F5FD0D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21F99C2A" w14:textId="0BCBB6C1" w:rsidR="001142A5" w:rsidRDefault="00643337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</w:t>
      </w:r>
      <w:r w:rsidR="001142A5">
        <w:rPr>
          <w:b/>
          <w:color w:val="0000FF"/>
          <w:sz w:val="22"/>
          <w:szCs w:val="22"/>
          <w:lang w:eastAsia="fr-FR"/>
        </w:rPr>
        <w:t xml:space="preserve">UCITS ETF </w:t>
      </w:r>
      <w:r w:rsidR="00F778A9">
        <w:rPr>
          <w:b/>
          <w:color w:val="0000FF"/>
          <w:sz w:val="22"/>
          <w:szCs w:val="22"/>
          <w:lang w:eastAsia="fr-FR"/>
        </w:rPr>
        <w:t>registered</w:t>
      </w:r>
      <w:r w:rsidR="001142A5">
        <w:rPr>
          <w:b/>
          <w:color w:val="0000FF"/>
          <w:sz w:val="22"/>
          <w:szCs w:val="22"/>
          <w:lang w:eastAsia="fr-FR"/>
        </w:rPr>
        <w:t xml:space="preserve"> </w:t>
      </w:r>
      <w:r w:rsidR="00F778A9">
        <w:rPr>
          <w:b/>
          <w:color w:val="0000FF"/>
          <w:sz w:val="22"/>
          <w:szCs w:val="22"/>
          <w:lang w:eastAsia="fr-FR"/>
        </w:rPr>
        <w:t>net outflows of</w:t>
      </w:r>
      <w:r w:rsidR="0084588A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 xml:space="preserve">EUR </w:t>
      </w:r>
      <w:r w:rsidR="0084588A">
        <w:rPr>
          <w:b/>
          <w:color w:val="0000FF"/>
          <w:sz w:val="22"/>
          <w:szCs w:val="22"/>
          <w:lang w:eastAsia="fr-FR"/>
        </w:rPr>
        <w:t>20</w:t>
      </w:r>
      <w:r w:rsidR="001142A5">
        <w:rPr>
          <w:b/>
          <w:color w:val="0000FF"/>
          <w:sz w:val="22"/>
          <w:szCs w:val="22"/>
          <w:lang w:eastAsia="fr-FR"/>
        </w:rPr>
        <w:t xml:space="preserve"> billion in Q2 201</w:t>
      </w:r>
      <w:r w:rsidR="0084588A">
        <w:rPr>
          <w:b/>
          <w:color w:val="0000FF"/>
          <w:sz w:val="22"/>
          <w:szCs w:val="22"/>
          <w:lang w:eastAsia="fr-FR"/>
        </w:rPr>
        <w:t>8</w:t>
      </w:r>
      <w:r w:rsidR="001142A5">
        <w:rPr>
          <w:b/>
          <w:color w:val="0000FF"/>
          <w:sz w:val="22"/>
          <w:szCs w:val="22"/>
          <w:lang w:eastAsia="fr-FR"/>
        </w:rPr>
        <w:t xml:space="preserve">, </w:t>
      </w:r>
      <w:r w:rsidR="0084588A">
        <w:rPr>
          <w:b/>
          <w:color w:val="0000FF"/>
          <w:sz w:val="22"/>
          <w:szCs w:val="22"/>
          <w:lang w:eastAsia="fr-FR"/>
        </w:rPr>
        <w:t xml:space="preserve">compared to net inflows of </w:t>
      </w:r>
      <w:r w:rsidR="001142A5">
        <w:rPr>
          <w:b/>
          <w:color w:val="0000FF"/>
          <w:sz w:val="22"/>
          <w:szCs w:val="22"/>
          <w:lang w:eastAsia="fr-FR"/>
        </w:rPr>
        <w:t>EUR 2</w:t>
      </w:r>
      <w:r w:rsidR="0084588A">
        <w:rPr>
          <w:b/>
          <w:color w:val="0000FF"/>
          <w:sz w:val="22"/>
          <w:szCs w:val="22"/>
          <w:lang w:eastAsia="fr-FR"/>
        </w:rPr>
        <w:t xml:space="preserve">3 </w:t>
      </w:r>
      <w:r w:rsidR="001142A5">
        <w:rPr>
          <w:b/>
          <w:color w:val="0000FF"/>
          <w:sz w:val="22"/>
          <w:szCs w:val="22"/>
          <w:lang w:eastAsia="fr-FR"/>
        </w:rPr>
        <w:t>billion in the first quarter</w:t>
      </w:r>
      <w:r w:rsidR="00F778A9">
        <w:rPr>
          <w:b/>
          <w:color w:val="0000FF"/>
          <w:sz w:val="22"/>
          <w:szCs w:val="22"/>
          <w:lang w:eastAsia="fr-FR"/>
        </w:rPr>
        <w:t xml:space="preserve"> of 2018</w:t>
      </w:r>
      <w:r w:rsidR="001142A5">
        <w:rPr>
          <w:b/>
          <w:color w:val="0000FF"/>
          <w:sz w:val="22"/>
          <w:szCs w:val="22"/>
          <w:lang w:eastAsia="fr-FR"/>
        </w:rPr>
        <w:t xml:space="preserve">. UCITS ETF </w:t>
      </w:r>
      <w:r w:rsidR="00AC5AAD">
        <w:rPr>
          <w:b/>
          <w:color w:val="0000FF"/>
          <w:sz w:val="22"/>
          <w:szCs w:val="22"/>
          <w:lang w:eastAsia="fr-FR"/>
        </w:rPr>
        <w:t xml:space="preserve">attracted net sales of EUR </w:t>
      </w:r>
      <w:r w:rsidR="0084588A">
        <w:rPr>
          <w:b/>
          <w:color w:val="0000FF"/>
          <w:sz w:val="22"/>
          <w:szCs w:val="22"/>
          <w:lang w:eastAsia="fr-FR"/>
        </w:rPr>
        <w:t>3</w:t>
      </w:r>
      <w:r w:rsidR="001142A5">
        <w:rPr>
          <w:b/>
          <w:color w:val="0000FF"/>
          <w:sz w:val="22"/>
          <w:szCs w:val="22"/>
          <w:lang w:eastAsia="fr-FR"/>
        </w:rPr>
        <w:t xml:space="preserve"> billion so far this year</w:t>
      </w:r>
      <w:r w:rsidR="00AC5AAD" w:rsidRPr="00F778A9">
        <w:rPr>
          <w:b/>
          <w:color w:val="0000FF"/>
          <w:sz w:val="22"/>
          <w:szCs w:val="22"/>
          <w:lang w:eastAsia="fr-FR"/>
        </w:rPr>
        <w:t>.</w:t>
      </w:r>
    </w:p>
    <w:p w14:paraId="7FE8C9D3" w14:textId="38BB033C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2093AA4D" w14:textId="31DBB316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UCITS ETF domiciled in Ireland registered the largest</w:t>
      </w:r>
      <w:r w:rsidR="000F4E8E">
        <w:rPr>
          <w:sz w:val="22"/>
          <w:szCs w:val="22"/>
          <w:lang w:eastAsia="fr-FR"/>
        </w:rPr>
        <w:t xml:space="preserve"> net</w:t>
      </w:r>
      <w:r>
        <w:rPr>
          <w:sz w:val="22"/>
          <w:szCs w:val="22"/>
          <w:lang w:eastAsia="fr-FR"/>
        </w:rPr>
        <w:t xml:space="preserve"> inflows during the quarter (EUR </w:t>
      </w:r>
      <w:r w:rsidR="00CF6127">
        <w:rPr>
          <w:sz w:val="22"/>
          <w:szCs w:val="22"/>
          <w:lang w:eastAsia="fr-FR"/>
        </w:rPr>
        <w:t>5.7</w:t>
      </w:r>
      <w:r>
        <w:rPr>
          <w:sz w:val="22"/>
          <w:szCs w:val="22"/>
          <w:lang w:eastAsia="fr-FR"/>
        </w:rPr>
        <w:t xml:space="preserve"> billion)</w:t>
      </w:r>
      <w:r w:rsidR="00550AD0">
        <w:rPr>
          <w:sz w:val="22"/>
          <w:szCs w:val="22"/>
          <w:lang w:eastAsia="fr-FR"/>
        </w:rPr>
        <w:t xml:space="preserve">. </w:t>
      </w:r>
      <w:r>
        <w:rPr>
          <w:sz w:val="22"/>
          <w:szCs w:val="22"/>
          <w:lang w:eastAsia="fr-FR"/>
        </w:rPr>
        <w:t xml:space="preserve">The largest </w:t>
      </w:r>
      <w:r w:rsidR="000F4E8E">
        <w:rPr>
          <w:sz w:val="22"/>
          <w:szCs w:val="22"/>
          <w:lang w:eastAsia="fr-FR"/>
        </w:rPr>
        <w:t xml:space="preserve">net </w:t>
      </w:r>
      <w:r>
        <w:rPr>
          <w:sz w:val="22"/>
          <w:szCs w:val="22"/>
          <w:lang w:eastAsia="fr-FR"/>
        </w:rPr>
        <w:t xml:space="preserve">outflows were seen in </w:t>
      </w:r>
      <w:r w:rsidR="00CF6127">
        <w:rPr>
          <w:sz w:val="22"/>
          <w:szCs w:val="22"/>
          <w:lang w:eastAsia="fr-FR"/>
        </w:rPr>
        <w:t>France (EUR 23.6</w:t>
      </w:r>
      <w:r>
        <w:rPr>
          <w:sz w:val="22"/>
          <w:szCs w:val="22"/>
          <w:lang w:eastAsia="fr-FR"/>
        </w:rPr>
        <w:t xml:space="preserve"> billion). Looking at cumulative year-to-date net sales, </w:t>
      </w:r>
      <w:r w:rsidR="00CF6127">
        <w:rPr>
          <w:sz w:val="22"/>
          <w:szCs w:val="22"/>
          <w:lang w:eastAsia="fr-FR"/>
        </w:rPr>
        <w:t>Luxembourg</w:t>
      </w:r>
      <w:r>
        <w:rPr>
          <w:sz w:val="22"/>
          <w:szCs w:val="22"/>
          <w:lang w:eastAsia="fr-FR"/>
        </w:rPr>
        <w:t xml:space="preserve"> has so far attracted the largest net inflows </w:t>
      </w:r>
      <w:r w:rsidR="005948B1">
        <w:rPr>
          <w:sz w:val="22"/>
          <w:szCs w:val="22"/>
          <w:lang w:eastAsia="fr-FR"/>
        </w:rPr>
        <w:t xml:space="preserve">(EUR </w:t>
      </w:r>
      <w:r w:rsidR="00CF6127">
        <w:rPr>
          <w:sz w:val="22"/>
          <w:szCs w:val="22"/>
          <w:lang w:eastAsia="fr-FR"/>
        </w:rPr>
        <w:t>23</w:t>
      </w:r>
      <w:r w:rsidR="005948B1">
        <w:rPr>
          <w:sz w:val="22"/>
          <w:szCs w:val="22"/>
          <w:lang w:eastAsia="fr-FR"/>
        </w:rPr>
        <w:t xml:space="preserve"> billion)</w:t>
      </w:r>
      <w:r w:rsidR="001707EB">
        <w:rPr>
          <w:sz w:val="22"/>
          <w:szCs w:val="22"/>
          <w:lang w:eastAsia="fr-FR"/>
        </w:rPr>
        <w:t>,</w:t>
      </w:r>
      <w:r w:rsidR="005948B1">
        <w:rPr>
          <w:sz w:val="22"/>
          <w:szCs w:val="22"/>
          <w:lang w:eastAsia="fr-FR"/>
        </w:rPr>
        <w:t xml:space="preserve"> whereas </w:t>
      </w:r>
      <w:r w:rsidR="00CF6127">
        <w:rPr>
          <w:sz w:val="22"/>
          <w:szCs w:val="22"/>
          <w:lang w:eastAsia="fr-FR"/>
        </w:rPr>
        <w:t>France</w:t>
      </w:r>
      <w:r w:rsidR="00162BDB">
        <w:rPr>
          <w:sz w:val="22"/>
          <w:szCs w:val="22"/>
          <w:lang w:eastAsia="fr-FR"/>
        </w:rPr>
        <w:t xml:space="preserve"> has </w:t>
      </w:r>
      <w:r>
        <w:rPr>
          <w:sz w:val="22"/>
          <w:szCs w:val="22"/>
          <w:lang w:eastAsia="fr-FR"/>
        </w:rPr>
        <w:t xml:space="preserve">experienced the largest net outflows (EUR </w:t>
      </w:r>
      <w:r w:rsidR="00CF6127">
        <w:rPr>
          <w:sz w:val="22"/>
          <w:szCs w:val="22"/>
          <w:lang w:eastAsia="fr-FR"/>
        </w:rPr>
        <w:t>37</w:t>
      </w:r>
      <w:r w:rsidR="00162BDB">
        <w:rPr>
          <w:sz w:val="22"/>
          <w:szCs w:val="22"/>
          <w:lang w:eastAsia="fr-FR"/>
        </w:rPr>
        <w:t xml:space="preserve"> billion).</w:t>
      </w:r>
    </w:p>
    <w:p w14:paraId="5BF90F2F" w14:textId="38D5460A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7CC8554A" w14:textId="46342C54" w:rsidR="00762383" w:rsidRPr="00FD75CC" w:rsidRDefault="00623C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1072" behindDoc="0" locked="0" layoutInCell="1" allowOverlap="1" wp14:anchorId="43B9953B" wp14:editId="39513CDB">
            <wp:simplePos x="0" y="0"/>
            <wp:positionH relativeFrom="column">
              <wp:posOffset>879475</wp:posOffset>
            </wp:positionH>
            <wp:positionV relativeFrom="paragraph">
              <wp:posOffset>7620</wp:posOffset>
            </wp:positionV>
            <wp:extent cx="4679950" cy="3650615"/>
            <wp:effectExtent l="0" t="0" r="6350" b="6985"/>
            <wp:wrapNone/>
            <wp:docPr id="2452" name="Picture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CE235" w14:textId="1AC700B7" w:rsidR="00762383" w:rsidRPr="00762383" w:rsidRDefault="00762383" w:rsidP="00762383"/>
    <w:p w14:paraId="4DFEDB80" w14:textId="77777777" w:rsidR="00762383" w:rsidRPr="00762383" w:rsidRDefault="00762383" w:rsidP="00762383"/>
    <w:p w14:paraId="4537ABF2" w14:textId="52481DDD" w:rsidR="00762383" w:rsidRPr="00762383" w:rsidRDefault="00762383" w:rsidP="00762383"/>
    <w:p w14:paraId="03CC32B7" w14:textId="77777777" w:rsidR="00762383" w:rsidRPr="00762383" w:rsidRDefault="00762383" w:rsidP="00762383"/>
    <w:p w14:paraId="4BC25B1D" w14:textId="5ECC37BE" w:rsidR="00762383" w:rsidRPr="00762383" w:rsidRDefault="00762383" w:rsidP="00762383"/>
    <w:p w14:paraId="7A2E500F" w14:textId="590DD0DD" w:rsidR="00762383" w:rsidRPr="00762383" w:rsidRDefault="00762383" w:rsidP="00762383"/>
    <w:p w14:paraId="5DC23833" w14:textId="77777777" w:rsidR="00762383" w:rsidRPr="00762383" w:rsidRDefault="00762383" w:rsidP="00762383"/>
    <w:p w14:paraId="7EF2D3F7" w14:textId="57000954" w:rsidR="00762383" w:rsidRPr="00762383" w:rsidRDefault="00762383" w:rsidP="00762383"/>
    <w:p w14:paraId="44BAA9F5" w14:textId="77777777" w:rsidR="00762383" w:rsidRPr="00762383" w:rsidRDefault="00762383" w:rsidP="00762383"/>
    <w:p w14:paraId="48170654" w14:textId="77777777" w:rsidR="00762383" w:rsidRPr="00762383" w:rsidRDefault="00762383" w:rsidP="00762383"/>
    <w:p w14:paraId="365A94B1" w14:textId="7EA5A30C" w:rsidR="00762383" w:rsidRPr="00762383" w:rsidRDefault="00762383" w:rsidP="00762383"/>
    <w:p w14:paraId="4C070B6A" w14:textId="77777777" w:rsidR="00762383" w:rsidRPr="00762383" w:rsidRDefault="00762383" w:rsidP="00762383"/>
    <w:p w14:paraId="454DB56D" w14:textId="11CAA518" w:rsidR="00762383" w:rsidRPr="00762383" w:rsidRDefault="00762383" w:rsidP="00762383"/>
    <w:p w14:paraId="51360138" w14:textId="5DC9FBF6" w:rsidR="00762383" w:rsidRPr="00762383" w:rsidRDefault="00762383" w:rsidP="00762383"/>
    <w:p w14:paraId="1FD9AD65" w14:textId="57C8944B" w:rsidR="00762383" w:rsidRPr="00762383" w:rsidRDefault="00762383" w:rsidP="00762383"/>
    <w:p w14:paraId="7CDDAC51" w14:textId="3A5F60B5" w:rsidR="00762383" w:rsidRPr="00762383" w:rsidRDefault="00762383" w:rsidP="00762383"/>
    <w:p w14:paraId="5F289B35" w14:textId="44A8F761" w:rsidR="00762383" w:rsidRPr="00762383" w:rsidRDefault="00762383" w:rsidP="00762383"/>
    <w:p w14:paraId="33D71CCB" w14:textId="69348856" w:rsidR="00762383" w:rsidRPr="00762383" w:rsidRDefault="00762383" w:rsidP="00762383"/>
    <w:p w14:paraId="5E7857BC" w14:textId="73C68907" w:rsidR="00762383" w:rsidRPr="00762383" w:rsidRDefault="00762383" w:rsidP="00762383"/>
    <w:p w14:paraId="49CAA5C8" w14:textId="46B6B8B9" w:rsidR="00762383" w:rsidRPr="00762383" w:rsidRDefault="00762383" w:rsidP="00762383"/>
    <w:p w14:paraId="7E46C55D" w14:textId="48795400" w:rsidR="00762383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14:paraId="7C0E8D92" w14:textId="5E074969" w:rsidR="00762383" w:rsidRPr="00E45F90" w:rsidRDefault="00762383" w:rsidP="00762383">
      <w:pPr>
        <w:rPr>
          <w:lang w:val="en-GB"/>
        </w:rPr>
      </w:pPr>
    </w:p>
    <w:p w14:paraId="555A25EE" w14:textId="58982014" w:rsidR="00762383" w:rsidRDefault="00E45F90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  <w:r>
        <w:rPr>
          <w:noProof/>
          <w:lang w:val="nl-BE" w:eastAsia="nl-BE"/>
        </w:rPr>
        <w:drawing>
          <wp:anchor distT="0" distB="0" distL="114300" distR="114300" simplePos="0" relativeHeight="251684864" behindDoc="0" locked="0" layoutInCell="1" allowOverlap="1" wp14:anchorId="7A57F1CD" wp14:editId="2C4D9C1D">
            <wp:simplePos x="0" y="0"/>
            <wp:positionH relativeFrom="margin">
              <wp:posOffset>874395</wp:posOffset>
            </wp:positionH>
            <wp:positionV relativeFrom="paragraph">
              <wp:posOffset>12065</wp:posOffset>
            </wp:positionV>
            <wp:extent cx="4683600" cy="284760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28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DFA18" w14:textId="3CFE0A19" w:rsidR="00762383" w:rsidRDefault="00762383" w:rsidP="00762383">
      <w:pPr>
        <w:pStyle w:val="Footer"/>
        <w:tabs>
          <w:tab w:val="left" w:pos="720"/>
          <w:tab w:val="left" w:pos="2970"/>
          <w:tab w:val="left" w:pos="3960"/>
          <w:tab w:val="left" w:pos="4320"/>
        </w:tabs>
        <w:spacing w:line="260" w:lineRule="exact"/>
        <w:outlineLvl w:val="0"/>
      </w:pPr>
      <w:r>
        <w:tab/>
      </w:r>
      <w:r>
        <w:tab/>
      </w:r>
      <w:r>
        <w:tab/>
      </w:r>
      <w:r>
        <w:tab/>
      </w:r>
    </w:p>
    <w:p w14:paraId="5C20545E" w14:textId="77777777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2383"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5F51787B" w14:textId="5472118E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</w:t>
      </w:r>
      <w:r w:rsidR="00C91E1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Number of Funds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Investment Type</w:t>
      </w:r>
    </w:p>
    <w:p w14:paraId="5387FAD2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22AE38F6" w14:textId="58A5D669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  <w:r>
        <w:rPr>
          <w:b/>
          <w:color w:val="0000FF"/>
          <w:sz w:val="22"/>
          <w:szCs w:val="22"/>
          <w:lang w:val="en-US"/>
        </w:rPr>
        <w:t>UCITS ne</w:t>
      </w:r>
      <w:r w:rsidR="00162BDB">
        <w:rPr>
          <w:b/>
          <w:color w:val="0000FF"/>
          <w:sz w:val="22"/>
          <w:szCs w:val="22"/>
          <w:lang w:val="en-US"/>
        </w:rPr>
        <w:t xml:space="preserve">t assets increased by </w:t>
      </w:r>
      <w:r w:rsidR="00CF6127">
        <w:rPr>
          <w:b/>
          <w:color w:val="0000FF"/>
          <w:sz w:val="22"/>
          <w:szCs w:val="22"/>
          <w:lang w:val="en-US"/>
        </w:rPr>
        <w:t>1.5</w:t>
      </w:r>
      <w:r w:rsidR="00162BDB">
        <w:rPr>
          <w:b/>
          <w:color w:val="0000FF"/>
          <w:sz w:val="22"/>
          <w:szCs w:val="22"/>
          <w:lang w:val="en-US"/>
        </w:rPr>
        <w:t>%</w:t>
      </w:r>
      <w:r>
        <w:rPr>
          <w:b/>
          <w:color w:val="0000FF"/>
          <w:sz w:val="22"/>
          <w:szCs w:val="22"/>
          <w:lang w:val="en-US"/>
        </w:rPr>
        <w:t xml:space="preserve"> in Q2 201</w:t>
      </w:r>
      <w:r w:rsidR="00CF6127">
        <w:rPr>
          <w:b/>
          <w:color w:val="0000FF"/>
          <w:sz w:val="22"/>
          <w:szCs w:val="22"/>
          <w:lang w:val="en-US"/>
        </w:rPr>
        <w:t>8</w:t>
      </w:r>
      <w:r>
        <w:rPr>
          <w:b/>
          <w:color w:val="0000FF"/>
          <w:sz w:val="22"/>
          <w:szCs w:val="22"/>
          <w:lang w:val="en-US"/>
        </w:rPr>
        <w:t xml:space="preserve"> to reach EUR 9,</w:t>
      </w:r>
      <w:r w:rsidR="00CF6127">
        <w:rPr>
          <w:b/>
          <w:color w:val="0000FF"/>
          <w:sz w:val="22"/>
          <w:szCs w:val="22"/>
          <w:lang w:val="en-US"/>
        </w:rPr>
        <w:t>824</w:t>
      </w:r>
      <w:r>
        <w:rPr>
          <w:b/>
          <w:color w:val="0000FF"/>
          <w:sz w:val="22"/>
          <w:szCs w:val="22"/>
          <w:lang w:val="en-US"/>
        </w:rPr>
        <w:t xml:space="preserve"> billion. </w:t>
      </w:r>
      <w:r w:rsidR="00E73F47">
        <w:rPr>
          <w:b/>
          <w:color w:val="0000FF"/>
          <w:sz w:val="22"/>
          <w:szCs w:val="22"/>
          <w:lang w:val="en-US"/>
        </w:rPr>
        <w:t>Since the end of 2017</w:t>
      </w:r>
      <w:r w:rsidR="00AC5AAD" w:rsidRPr="00AC5AAD">
        <w:rPr>
          <w:b/>
          <w:color w:val="0000FF"/>
          <w:sz w:val="22"/>
          <w:szCs w:val="22"/>
          <w:lang w:val="en-US"/>
        </w:rPr>
        <w:t xml:space="preserve">, net assets of UCITS have increased </w:t>
      </w:r>
      <w:r w:rsidR="00CF6127">
        <w:rPr>
          <w:b/>
          <w:color w:val="0000FF"/>
          <w:sz w:val="22"/>
          <w:szCs w:val="22"/>
          <w:lang w:val="en-US"/>
        </w:rPr>
        <w:t>1</w:t>
      </w:r>
      <w:r w:rsidR="00AC5AAD" w:rsidRPr="00AC5AAD">
        <w:rPr>
          <w:b/>
          <w:color w:val="0000FF"/>
          <w:sz w:val="22"/>
          <w:szCs w:val="22"/>
          <w:lang w:val="en-US"/>
        </w:rPr>
        <w:t>%.</w:t>
      </w:r>
    </w:p>
    <w:p w14:paraId="10CBF3B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</w:p>
    <w:p w14:paraId="7B514563" w14:textId="349120B2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Net assets of </w:t>
      </w:r>
      <w:r w:rsidR="00143A3C">
        <w:rPr>
          <w:color w:val="000000"/>
          <w:sz w:val="22"/>
          <w:szCs w:val="22"/>
          <w:lang w:val="en-US"/>
        </w:rPr>
        <w:t>equity</w:t>
      </w:r>
      <w:r>
        <w:rPr>
          <w:color w:val="000000"/>
          <w:sz w:val="22"/>
          <w:szCs w:val="22"/>
          <w:lang w:val="en-US"/>
        </w:rPr>
        <w:t xml:space="preserve"> </w:t>
      </w:r>
      <w:r w:rsidR="000628E9">
        <w:rPr>
          <w:color w:val="000000"/>
          <w:sz w:val="22"/>
          <w:szCs w:val="22"/>
          <w:lang w:val="en-US"/>
        </w:rPr>
        <w:t xml:space="preserve">funds </w:t>
      </w:r>
      <w:r>
        <w:rPr>
          <w:color w:val="000000"/>
          <w:sz w:val="22"/>
          <w:szCs w:val="22"/>
          <w:lang w:val="en-US"/>
        </w:rPr>
        <w:t xml:space="preserve">increased </w:t>
      </w:r>
      <w:r w:rsidR="006E5034">
        <w:rPr>
          <w:color w:val="000000"/>
          <w:sz w:val="22"/>
          <w:szCs w:val="22"/>
          <w:lang w:val="en-US"/>
        </w:rPr>
        <w:t xml:space="preserve">by </w:t>
      </w:r>
      <w:r w:rsidR="00143A3C">
        <w:rPr>
          <w:color w:val="000000"/>
          <w:sz w:val="22"/>
          <w:szCs w:val="22"/>
          <w:lang w:val="en-US"/>
        </w:rPr>
        <w:t>4.1</w:t>
      </w:r>
      <w:r>
        <w:rPr>
          <w:color w:val="000000"/>
          <w:sz w:val="22"/>
          <w:szCs w:val="22"/>
          <w:lang w:val="en-US"/>
        </w:rPr>
        <w:t xml:space="preserve">% to reach EUR </w:t>
      </w:r>
      <w:r w:rsidR="00143A3C">
        <w:rPr>
          <w:color w:val="000000"/>
          <w:sz w:val="22"/>
          <w:szCs w:val="22"/>
          <w:lang w:val="en-US"/>
        </w:rPr>
        <w:t>3</w:t>
      </w:r>
      <w:r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>833</w:t>
      </w:r>
      <w:r>
        <w:rPr>
          <w:color w:val="000000"/>
          <w:sz w:val="22"/>
          <w:szCs w:val="22"/>
          <w:lang w:val="en-US"/>
        </w:rPr>
        <w:t xml:space="preserve"> billion</w:t>
      </w:r>
      <w:r w:rsidR="00143A3C">
        <w:rPr>
          <w:color w:val="000000"/>
          <w:sz w:val="22"/>
          <w:szCs w:val="22"/>
          <w:lang w:val="en-US"/>
        </w:rPr>
        <w:t xml:space="preserve">. Multi-asset funds and other funds both </w:t>
      </w:r>
      <w:r w:rsidR="006E5034">
        <w:rPr>
          <w:color w:val="000000"/>
          <w:sz w:val="22"/>
          <w:szCs w:val="22"/>
          <w:lang w:val="en-US"/>
        </w:rPr>
        <w:t>grew</w:t>
      </w:r>
      <w:r w:rsidR="00143A3C">
        <w:rPr>
          <w:color w:val="000000"/>
          <w:sz w:val="22"/>
          <w:szCs w:val="22"/>
          <w:lang w:val="en-US"/>
        </w:rPr>
        <w:t xml:space="preserve"> 0.9% to reach </w:t>
      </w:r>
      <w:r>
        <w:rPr>
          <w:color w:val="000000"/>
          <w:sz w:val="22"/>
          <w:szCs w:val="22"/>
          <w:lang w:val="en-US"/>
        </w:rPr>
        <w:t xml:space="preserve">EUR </w:t>
      </w:r>
      <w:r w:rsidR="00143A3C">
        <w:rPr>
          <w:color w:val="000000"/>
          <w:sz w:val="22"/>
          <w:szCs w:val="22"/>
          <w:lang w:val="en-US"/>
        </w:rPr>
        <w:t>1,819</w:t>
      </w:r>
      <w:r>
        <w:rPr>
          <w:color w:val="000000"/>
          <w:sz w:val="22"/>
          <w:szCs w:val="22"/>
          <w:lang w:val="en-US"/>
        </w:rPr>
        <w:t xml:space="preserve"> billion</w:t>
      </w:r>
      <w:r w:rsidR="00143A3C">
        <w:rPr>
          <w:color w:val="000000"/>
          <w:sz w:val="22"/>
          <w:szCs w:val="22"/>
          <w:lang w:val="en-US"/>
        </w:rPr>
        <w:t xml:space="preserve"> and </w:t>
      </w:r>
      <w:r w:rsidR="007A1202">
        <w:rPr>
          <w:color w:val="000000"/>
          <w:sz w:val="22"/>
          <w:szCs w:val="22"/>
          <w:lang w:val="en-US"/>
        </w:rPr>
        <w:t xml:space="preserve">EUR </w:t>
      </w:r>
      <w:r w:rsidR="00143A3C">
        <w:rPr>
          <w:color w:val="000000"/>
          <w:sz w:val="22"/>
          <w:szCs w:val="22"/>
          <w:lang w:val="en-US"/>
        </w:rPr>
        <w:t>371 billion</w:t>
      </w:r>
      <w:r w:rsidR="0079273B"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respectively. </w:t>
      </w:r>
      <w:r w:rsidR="006E5034">
        <w:rPr>
          <w:color w:val="000000"/>
          <w:sz w:val="22"/>
          <w:szCs w:val="22"/>
          <w:lang w:val="en-US"/>
        </w:rPr>
        <w:t>B</w:t>
      </w:r>
      <w:r w:rsidR="006E5034" w:rsidRPr="006E5034">
        <w:rPr>
          <w:color w:val="000000"/>
          <w:sz w:val="22"/>
          <w:szCs w:val="22"/>
          <w:lang w:val="en-US"/>
        </w:rPr>
        <w:t>ond funds, money mar</w:t>
      </w:r>
      <w:r w:rsidR="006E5034">
        <w:rPr>
          <w:color w:val="000000"/>
          <w:sz w:val="22"/>
          <w:szCs w:val="22"/>
          <w:lang w:val="en-US"/>
        </w:rPr>
        <w:t>ket funds and guaranteed funds</w:t>
      </w:r>
      <w:r w:rsidR="0079273B">
        <w:rPr>
          <w:color w:val="000000"/>
          <w:sz w:val="22"/>
          <w:szCs w:val="22"/>
          <w:lang w:val="en-US"/>
        </w:rPr>
        <w:t>,</w:t>
      </w:r>
      <w:r w:rsidR="006E5034">
        <w:rPr>
          <w:color w:val="000000"/>
          <w:sz w:val="22"/>
          <w:szCs w:val="22"/>
          <w:lang w:val="en-US"/>
        </w:rPr>
        <w:t xml:space="preserve"> </w:t>
      </w:r>
      <w:r w:rsidR="006E5034" w:rsidRPr="006E5034">
        <w:rPr>
          <w:color w:val="000000"/>
          <w:sz w:val="22"/>
          <w:szCs w:val="22"/>
          <w:lang w:val="en-US"/>
        </w:rPr>
        <w:t>exp</w:t>
      </w:r>
      <w:r w:rsidR="0079273B">
        <w:rPr>
          <w:color w:val="000000"/>
          <w:sz w:val="22"/>
          <w:szCs w:val="22"/>
          <w:lang w:val="en-US"/>
        </w:rPr>
        <w:t xml:space="preserve">erienced net asset decreases of </w:t>
      </w:r>
      <w:r w:rsidR="006E5034" w:rsidRPr="006E5034">
        <w:rPr>
          <w:color w:val="000000"/>
          <w:sz w:val="22"/>
          <w:szCs w:val="22"/>
          <w:lang w:val="en-US"/>
        </w:rPr>
        <w:t>0.6%, 0.4% and 13.2%, respectively.</w:t>
      </w:r>
    </w:p>
    <w:p w14:paraId="77DFD09C" w14:textId="77777777" w:rsidR="008B3565" w:rsidRDefault="008B356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6052F55E" w14:textId="24200FF3" w:rsidR="001142A5" w:rsidRPr="0037263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C43CED">
        <w:rPr>
          <w:color w:val="000000"/>
          <w:sz w:val="22"/>
          <w:szCs w:val="22"/>
          <w:lang w:val="en-US"/>
        </w:rPr>
        <w:t>The number of UCITS</w:t>
      </w:r>
      <w:r w:rsidR="00143A3C">
        <w:rPr>
          <w:color w:val="000000"/>
          <w:sz w:val="22"/>
          <w:szCs w:val="22"/>
          <w:lang w:val="en-US"/>
        </w:rPr>
        <w:t xml:space="preserve"> funds increased from 32</w:t>
      </w:r>
      <w:r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>3</w:t>
      </w:r>
      <w:r w:rsidR="003D7748">
        <w:rPr>
          <w:color w:val="000000"/>
          <w:sz w:val="22"/>
          <w:szCs w:val="22"/>
          <w:lang w:val="en-US"/>
        </w:rPr>
        <w:t>55</w:t>
      </w:r>
      <w:r>
        <w:rPr>
          <w:color w:val="000000"/>
          <w:sz w:val="22"/>
          <w:szCs w:val="22"/>
          <w:lang w:val="en-US"/>
        </w:rPr>
        <w:t xml:space="preserve"> at end </w:t>
      </w:r>
      <w:r w:rsidR="00C71794">
        <w:rPr>
          <w:color w:val="000000"/>
          <w:sz w:val="22"/>
          <w:szCs w:val="22"/>
          <w:lang w:val="en-US"/>
        </w:rPr>
        <w:t>Q1 201</w:t>
      </w:r>
      <w:r w:rsidR="00143A3C">
        <w:rPr>
          <w:color w:val="000000"/>
          <w:sz w:val="22"/>
          <w:szCs w:val="22"/>
          <w:lang w:val="en-US"/>
        </w:rPr>
        <w:t>8</w:t>
      </w:r>
      <w:r w:rsidR="00C71794">
        <w:rPr>
          <w:color w:val="000000"/>
          <w:sz w:val="22"/>
          <w:szCs w:val="22"/>
          <w:lang w:val="en-US"/>
        </w:rPr>
        <w:t xml:space="preserve"> to 3</w:t>
      </w:r>
      <w:r w:rsidR="00143A3C">
        <w:rPr>
          <w:color w:val="000000"/>
          <w:sz w:val="22"/>
          <w:szCs w:val="22"/>
          <w:lang w:val="en-US"/>
        </w:rPr>
        <w:t>2</w:t>
      </w:r>
      <w:r w:rsidR="00C71794"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>733</w:t>
      </w:r>
      <w:r w:rsidR="00C71794">
        <w:rPr>
          <w:color w:val="000000"/>
          <w:sz w:val="22"/>
          <w:szCs w:val="22"/>
          <w:lang w:val="en-US"/>
        </w:rPr>
        <w:t xml:space="preserve"> at end Q</w:t>
      </w:r>
      <w:r w:rsidR="00D531B5">
        <w:rPr>
          <w:color w:val="000000"/>
          <w:sz w:val="22"/>
          <w:szCs w:val="22"/>
          <w:lang w:val="en-US"/>
        </w:rPr>
        <w:t>2 201</w:t>
      </w:r>
      <w:r w:rsidR="00143A3C">
        <w:rPr>
          <w:color w:val="000000"/>
          <w:sz w:val="22"/>
          <w:szCs w:val="22"/>
          <w:lang w:val="en-US"/>
        </w:rPr>
        <w:t>8</w:t>
      </w:r>
      <w:r>
        <w:rPr>
          <w:color w:val="000000"/>
          <w:sz w:val="22"/>
          <w:szCs w:val="22"/>
          <w:lang w:val="en-US"/>
        </w:rPr>
        <w:t xml:space="preserve">. </w:t>
      </w:r>
    </w:p>
    <w:p w14:paraId="699C0B5C" w14:textId="12D9527C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outlineLvl w:val="0"/>
        <w:rPr>
          <w:color w:val="000000"/>
          <w:sz w:val="22"/>
          <w:szCs w:val="22"/>
          <w:lang w:val="en-US"/>
        </w:rPr>
      </w:pPr>
    </w:p>
    <w:p w14:paraId="226CBE10" w14:textId="69A448BD" w:rsidR="001142A5" w:rsidRPr="00FD75CC" w:rsidRDefault="00E93C78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C78">
        <w:rPr>
          <w:noProof/>
          <w:lang w:val="nl-BE" w:eastAsia="nl-BE"/>
        </w:rPr>
        <w:drawing>
          <wp:anchor distT="0" distB="0" distL="114300" distR="114300" simplePos="0" relativeHeight="251688960" behindDoc="0" locked="0" layoutInCell="1" allowOverlap="1" wp14:anchorId="77DD1AA5" wp14:editId="4E79016C">
            <wp:simplePos x="0" y="0"/>
            <wp:positionH relativeFrom="margin">
              <wp:align>center</wp:align>
            </wp:positionH>
            <wp:positionV relativeFrom="page">
              <wp:posOffset>2914020</wp:posOffset>
            </wp:positionV>
            <wp:extent cx="5108400" cy="5662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0" cy="56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0C42608" w14:textId="59D208B1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F3DFEA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E1FA2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45DA4B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45752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6CA17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3C45F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315F8F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BABC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96E9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4A8B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8A4D9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FD8D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BED6B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413607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27FD0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AE1D2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A19C7C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FD452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27F4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E96A62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3163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98AD2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3865B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343E6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70924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A90283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24F6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E01E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BFE0A" w14:textId="62F6A097" w:rsidR="001142A5" w:rsidRPr="00FD75CC" w:rsidRDefault="001142A5" w:rsidP="001142A5">
      <w:pPr>
        <w:pStyle w:val="Footer"/>
        <w:ind w:firstLine="2880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val="en-US"/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1EADC0E5" w14:textId="71333225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bookmarkEnd w:id="0"/>
    <w:p w14:paraId="0ACDD3F5" w14:textId="77777777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15490B6A" w14:textId="39633978" w:rsidR="001142A5" w:rsidRPr="00262840" w:rsidRDefault="005D788D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Sixteen</w:t>
      </w:r>
      <w:r w:rsidR="001142A5">
        <w:rPr>
          <w:b/>
          <w:bCs/>
          <w:color w:val="0000FF"/>
          <w:sz w:val="22"/>
          <w:szCs w:val="22"/>
        </w:rPr>
        <w:t xml:space="preserve"> domiciles</w:t>
      </w:r>
      <w:r w:rsidR="001142A5" w:rsidRPr="00262840">
        <w:rPr>
          <w:b/>
          <w:bCs/>
          <w:color w:val="0000FF"/>
          <w:sz w:val="22"/>
          <w:szCs w:val="22"/>
        </w:rPr>
        <w:t xml:space="preserve"> </w:t>
      </w:r>
      <w:r w:rsidR="001142A5">
        <w:rPr>
          <w:b/>
          <w:bCs/>
          <w:color w:val="0000FF"/>
          <w:sz w:val="22"/>
          <w:szCs w:val="22"/>
        </w:rPr>
        <w:t xml:space="preserve">recorded net asset growth </w:t>
      </w:r>
      <w:r w:rsidR="006E5034">
        <w:rPr>
          <w:b/>
          <w:bCs/>
          <w:color w:val="0000FF"/>
          <w:sz w:val="22"/>
          <w:szCs w:val="22"/>
        </w:rPr>
        <w:t>in</w:t>
      </w:r>
      <w:r w:rsidR="001142A5">
        <w:rPr>
          <w:b/>
          <w:bCs/>
          <w:color w:val="0000FF"/>
          <w:sz w:val="22"/>
          <w:szCs w:val="22"/>
        </w:rPr>
        <w:t xml:space="preserve"> Q2 201</w:t>
      </w:r>
      <w:r>
        <w:rPr>
          <w:b/>
          <w:bCs/>
          <w:color w:val="0000FF"/>
          <w:sz w:val="22"/>
          <w:szCs w:val="22"/>
        </w:rPr>
        <w:t>8</w:t>
      </w:r>
      <w:r w:rsidR="005948B1">
        <w:rPr>
          <w:b/>
          <w:bCs/>
          <w:color w:val="0000FF"/>
          <w:sz w:val="22"/>
          <w:szCs w:val="22"/>
        </w:rPr>
        <w:t>,</w:t>
      </w:r>
      <w:r w:rsidR="001142A5">
        <w:rPr>
          <w:b/>
          <w:bCs/>
          <w:color w:val="0000FF"/>
          <w:sz w:val="22"/>
          <w:szCs w:val="22"/>
        </w:rPr>
        <w:t xml:space="preserve"> with net assets of UCITS reaching EUR 9,</w:t>
      </w:r>
      <w:r>
        <w:rPr>
          <w:b/>
          <w:bCs/>
          <w:color w:val="0000FF"/>
          <w:sz w:val="22"/>
          <w:szCs w:val="22"/>
        </w:rPr>
        <w:t>824</w:t>
      </w:r>
      <w:r w:rsidR="001142A5">
        <w:rPr>
          <w:b/>
          <w:bCs/>
          <w:color w:val="0000FF"/>
          <w:sz w:val="22"/>
          <w:szCs w:val="22"/>
        </w:rPr>
        <w:t xml:space="preserve"> billion.</w:t>
      </w:r>
    </w:p>
    <w:p w14:paraId="2E4797D5" w14:textId="77777777" w:rsidR="00AC5AAD" w:rsidRDefault="00AC5AAD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14:paraId="0B98944F" w14:textId="6A72CBF4" w:rsidR="006C20BE" w:rsidRDefault="006E5034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Among the</w:t>
      </w:r>
      <w:r w:rsidR="00AD517C">
        <w:rPr>
          <w:bCs/>
          <w:color w:val="000000"/>
          <w:sz w:val="22"/>
          <w:szCs w:val="22"/>
        </w:rPr>
        <w:t xml:space="preserve"> </w:t>
      </w:r>
      <w:r w:rsidR="006C20BE">
        <w:rPr>
          <w:bCs/>
          <w:color w:val="000000"/>
          <w:sz w:val="22"/>
          <w:szCs w:val="22"/>
        </w:rPr>
        <w:t>major</w:t>
      </w:r>
      <w:r w:rsidR="005D788D">
        <w:rPr>
          <w:bCs/>
          <w:color w:val="000000"/>
          <w:sz w:val="22"/>
          <w:szCs w:val="22"/>
        </w:rPr>
        <w:t xml:space="preserve"> domiciles</w:t>
      </w:r>
      <w:r w:rsidR="00AC5AAD">
        <w:rPr>
          <w:bCs/>
          <w:color w:val="000000"/>
          <w:sz w:val="22"/>
          <w:szCs w:val="22"/>
        </w:rPr>
        <w:t>,</w:t>
      </w:r>
      <w:r w:rsidR="00AD517C">
        <w:rPr>
          <w:bCs/>
          <w:color w:val="000000"/>
          <w:sz w:val="22"/>
          <w:szCs w:val="22"/>
        </w:rPr>
        <w:t xml:space="preserve"> </w:t>
      </w:r>
      <w:r w:rsidR="005D788D">
        <w:rPr>
          <w:bCs/>
          <w:color w:val="000000"/>
          <w:sz w:val="22"/>
          <w:szCs w:val="22"/>
        </w:rPr>
        <w:t>the United Kingdom</w:t>
      </w:r>
      <w:r w:rsidR="00AD517C">
        <w:rPr>
          <w:bCs/>
          <w:color w:val="000000"/>
          <w:sz w:val="22"/>
          <w:szCs w:val="22"/>
        </w:rPr>
        <w:t xml:space="preserve"> recorded the largest net asset growth (</w:t>
      </w:r>
      <w:r w:rsidR="005D788D">
        <w:rPr>
          <w:bCs/>
          <w:color w:val="000000"/>
          <w:sz w:val="22"/>
          <w:szCs w:val="22"/>
        </w:rPr>
        <w:t>3.3</w:t>
      </w:r>
      <w:r w:rsidR="00AD517C">
        <w:rPr>
          <w:bCs/>
          <w:color w:val="000000"/>
          <w:sz w:val="22"/>
          <w:szCs w:val="22"/>
        </w:rPr>
        <w:t>%), followed by</w:t>
      </w:r>
      <w:r w:rsidR="00AC5AAD">
        <w:rPr>
          <w:bCs/>
          <w:color w:val="000000"/>
          <w:sz w:val="22"/>
          <w:szCs w:val="22"/>
        </w:rPr>
        <w:t xml:space="preserve"> </w:t>
      </w:r>
      <w:r w:rsidR="001142A5">
        <w:rPr>
          <w:bCs/>
          <w:color w:val="000000"/>
          <w:sz w:val="22"/>
          <w:szCs w:val="22"/>
        </w:rPr>
        <w:t>Ireland</w:t>
      </w:r>
      <w:r w:rsidR="00AD517C">
        <w:rPr>
          <w:bCs/>
          <w:color w:val="000000"/>
          <w:sz w:val="22"/>
          <w:szCs w:val="22"/>
        </w:rPr>
        <w:t xml:space="preserve"> </w:t>
      </w:r>
      <w:r w:rsidR="00DC4BFC">
        <w:rPr>
          <w:bCs/>
          <w:color w:val="000000"/>
          <w:sz w:val="22"/>
          <w:szCs w:val="22"/>
        </w:rPr>
        <w:t>(</w:t>
      </w:r>
      <w:r w:rsidR="005D788D">
        <w:rPr>
          <w:bCs/>
          <w:color w:val="000000"/>
          <w:sz w:val="22"/>
          <w:szCs w:val="22"/>
        </w:rPr>
        <w:t xml:space="preserve">2.9%), Germany (2.2%) </w:t>
      </w:r>
      <w:r w:rsidR="00AD517C">
        <w:rPr>
          <w:bCs/>
          <w:color w:val="000000"/>
          <w:sz w:val="22"/>
          <w:szCs w:val="22"/>
        </w:rPr>
        <w:t xml:space="preserve">and </w:t>
      </w:r>
      <w:r w:rsidR="005948B1">
        <w:rPr>
          <w:bCs/>
          <w:color w:val="000000"/>
          <w:sz w:val="22"/>
          <w:szCs w:val="22"/>
        </w:rPr>
        <w:t>Luxembourg (</w:t>
      </w:r>
      <w:r w:rsidR="005D788D">
        <w:rPr>
          <w:bCs/>
          <w:color w:val="000000"/>
          <w:sz w:val="22"/>
          <w:szCs w:val="22"/>
        </w:rPr>
        <w:t>2.0</w:t>
      </w:r>
      <w:r w:rsidR="005948B1">
        <w:rPr>
          <w:bCs/>
          <w:color w:val="000000"/>
          <w:sz w:val="22"/>
          <w:szCs w:val="22"/>
        </w:rPr>
        <w:t>%)</w:t>
      </w:r>
      <w:r w:rsidR="00AD517C">
        <w:rPr>
          <w:bCs/>
          <w:color w:val="000000"/>
          <w:sz w:val="22"/>
          <w:szCs w:val="22"/>
        </w:rPr>
        <w:t xml:space="preserve">. </w:t>
      </w:r>
    </w:p>
    <w:p w14:paraId="777E4A93" w14:textId="4A9E9AF5" w:rsidR="006E5034" w:rsidRDefault="006E5034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42FFEC3A" w14:textId="00AB0A15" w:rsidR="001142A5" w:rsidRDefault="006C20BE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</w:t>
      </w:r>
      <w:r w:rsidR="00DC2BB1">
        <w:rPr>
          <w:bCs/>
          <w:color w:val="000000"/>
          <w:sz w:val="22"/>
          <w:szCs w:val="22"/>
        </w:rPr>
        <w:t xml:space="preserve">et asset growth was </w:t>
      </w:r>
      <w:r w:rsidR="006E5034">
        <w:rPr>
          <w:bCs/>
          <w:color w:val="000000"/>
          <w:sz w:val="22"/>
          <w:szCs w:val="22"/>
        </w:rPr>
        <w:t xml:space="preserve">also </w:t>
      </w:r>
      <w:r w:rsidR="00DC2BB1">
        <w:rPr>
          <w:bCs/>
          <w:color w:val="000000"/>
          <w:sz w:val="22"/>
          <w:szCs w:val="22"/>
        </w:rPr>
        <w:t xml:space="preserve">seen in </w:t>
      </w:r>
      <w:r w:rsidR="006E5034">
        <w:rPr>
          <w:bCs/>
          <w:color w:val="000000"/>
          <w:sz w:val="22"/>
          <w:szCs w:val="22"/>
        </w:rPr>
        <w:t>all</w:t>
      </w:r>
      <w:r w:rsidR="001B09E3">
        <w:rPr>
          <w:bCs/>
          <w:color w:val="000000"/>
          <w:sz w:val="22"/>
          <w:szCs w:val="22"/>
        </w:rPr>
        <w:t xml:space="preserve"> </w:t>
      </w:r>
      <w:r w:rsidR="00DC2BB1">
        <w:rPr>
          <w:bCs/>
          <w:color w:val="000000"/>
          <w:sz w:val="22"/>
          <w:szCs w:val="22"/>
        </w:rPr>
        <w:t>N</w:t>
      </w:r>
      <w:r w:rsidR="00AD517C">
        <w:rPr>
          <w:bCs/>
          <w:color w:val="000000"/>
          <w:sz w:val="22"/>
          <w:szCs w:val="22"/>
        </w:rPr>
        <w:t>ordic countries</w:t>
      </w:r>
      <w:r w:rsidR="00DF64DF">
        <w:rPr>
          <w:bCs/>
          <w:color w:val="000000"/>
          <w:sz w:val="22"/>
          <w:szCs w:val="22"/>
        </w:rPr>
        <w:t>, with</w:t>
      </w:r>
      <w:r w:rsidR="004A0405">
        <w:rPr>
          <w:bCs/>
          <w:color w:val="000000"/>
          <w:sz w:val="22"/>
          <w:szCs w:val="22"/>
        </w:rPr>
        <w:t xml:space="preserve"> </w:t>
      </w:r>
      <w:r w:rsidR="00DF64DF">
        <w:rPr>
          <w:bCs/>
          <w:color w:val="000000"/>
          <w:sz w:val="22"/>
          <w:szCs w:val="22"/>
        </w:rPr>
        <w:t xml:space="preserve">the largest </w:t>
      </w:r>
      <w:r w:rsidR="006E5034">
        <w:rPr>
          <w:bCs/>
          <w:color w:val="000000"/>
          <w:sz w:val="22"/>
          <w:szCs w:val="22"/>
        </w:rPr>
        <w:t>net asset increase</w:t>
      </w:r>
      <w:r w:rsidR="00DC2BB1">
        <w:rPr>
          <w:bCs/>
          <w:color w:val="000000"/>
          <w:sz w:val="22"/>
          <w:szCs w:val="22"/>
        </w:rPr>
        <w:t xml:space="preserve"> in </w:t>
      </w:r>
      <w:r>
        <w:rPr>
          <w:bCs/>
          <w:color w:val="000000"/>
          <w:sz w:val="22"/>
          <w:szCs w:val="22"/>
        </w:rPr>
        <w:t xml:space="preserve">Sweden (4.0%), followed by </w:t>
      </w:r>
      <w:r w:rsidR="00DC2BB1">
        <w:rPr>
          <w:bCs/>
          <w:color w:val="000000"/>
          <w:sz w:val="22"/>
          <w:szCs w:val="22"/>
        </w:rPr>
        <w:t>Denmark (2.</w:t>
      </w:r>
      <w:r>
        <w:rPr>
          <w:bCs/>
          <w:color w:val="000000"/>
          <w:sz w:val="22"/>
          <w:szCs w:val="22"/>
        </w:rPr>
        <w:t>8</w:t>
      </w:r>
      <w:r w:rsidR="00DC2BB1">
        <w:rPr>
          <w:bCs/>
          <w:color w:val="000000"/>
          <w:sz w:val="22"/>
          <w:szCs w:val="22"/>
        </w:rPr>
        <w:t>%)</w:t>
      </w:r>
      <w:r>
        <w:rPr>
          <w:bCs/>
          <w:color w:val="000000"/>
          <w:sz w:val="22"/>
          <w:szCs w:val="22"/>
        </w:rPr>
        <w:t>, Norway (2.4%) and Finland (0.8%)</w:t>
      </w:r>
      <w:r w:rsidR="00DC2BB1">
        <w:rPr>
          <w:bCs/>
          <w:color w:val="000000"/>
          <w:sz w:val="22"/>
          <w:szCs w:val="22"/>
        </w:rPr>
        <w:t>.</w:t>
      </w:r>
      <w:r w:rsidR="001142A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 Southern Europe, the largest net asset growth</w:t>
      </w:r>
      <w:r w:rsidR="004B2C41">
        <w:rPr>
          <w:bCs/>
          <w:color w:val="000000"/>
          <w:sz w:val="22"/>
          <w:szCs w:val="22"/>
        </w:rPr>
        <w:t xml:space="preserve"> w</w:t>
      </w:r>
      <w:r w:rsidR="006E5034">
        <w:rPr>
          <w:bCs/>
          <w:color w:val="000000"/>
          <w:sz w:val="22"/>
          <w:szCs w:val="22"/>
        </w:rPr>
        <w:t>as</w:t>
      </w:r>
      <w:r w:rsidR="004B2C41">
        <w:rPr>
          <w:bCs/>
          <w:color w:val="000000"/>
          <w:sz w:val="22"/>
          <w:szCs w:val="22"/>
        </w:rPr>
        <w:t xml:space="preserve"> recorded in Cyprus (1</w:t>
      </w:r>
      <w:r w:rsidR="006E5034">
        <w:rPr>
          <w:bCs/>
          <w:color w:val="000000"/>
          <w:sz w:val="22"/>
          <w:szCs w:val="22"/>
        </w:rPr>
        <w:t>3.6%), followed by Malta (2.4%) and Spain (1.9%)</w:t>
      </w:r>
      <w:r w:rsidR="004B2C41">
        <w:rPr>
          <w:bCs/>
          <w:color w:val="000000"/>
          <w:sz w:val="22"/>
          <w:szCs w:val="22"/>
        </w:rPr>
        <w:t xml:space="preserve">. </w:t>
      </w:r>
      <w:r w:rsidR="00DC2BB1">
        <w:rPr>
          <w:bCs/>
          <w:color w:val="000000"/>
          <w:sz w:val="22"/>
          <w:szCs w:val="22"/>
        </w:rPr>
        <w:t xml:space="preserve">In Central and Eastern Europe, </w:t>
      </w:r>
      <w:r w:rsidR="001142A5">
        <w:rPr>
          <w:bCs/>
          <w:color w:val="000000"/>
          <w:sz w:val="22"/>
          <w:szCs w:val="22"/>
        </w:rPr>
        <w:t xml:space="preserve">increases in net assets </w:t>
      </w:r>
      <w:r w:rsidR="00DC2BB1">
        <w:rPr>
          <w:bCs/>
          <w:color w:val="000000"/>
          <w:sz w:val="22"/>
          <w:szCs w:val="22"/>
        </w:rPr>
        <w:t>w</w:t>
      </w:r>
      <w:r w:rsidR="001142A5">
        <w:rPr>
          <w:bCs/>
          <w:color w:val="000000"/>
          <w:sz w:val="22"/>
          <w:szCs w:val="22"/>
        </w:rPr>
        <w:t>ere</w:t>
      </w:r>
      <w:r w:rsidR="00DC2BB1">
        <w:rPr>
          <w:bCs/>
          <w:color w:val="000000"/>
          <w:sz w:val="22"/>
          <w:szCs w:val="22"/>
        </w:rPr>
        <w:t xml:space="preserve"> recorded in </w:t>
      </w:r>
      <w:r w:rsidR="004B2C41">
        <w:rPr>
          <w:bCs/>
          <w:color w:val="000000"/>
          <w:sz w:val="22"/>
          <w:szCs w:val="22"/>
        </w:rPr>
        <w:t>Slovenia</w:t>
      </w:r>
      <w:r w:rsidR="006E5034">
        <w:rPr>
          <w:bCs/>
          <w:color w:val="000000"/>
          <w:sz w:val="22"/>
          <w:szCs w:val="22"/>
        </w:rPr>
        <w:t xml:space="preserve"> (</w:t>
      </w:r>
      <w:r w:rsidR="004B2C41">
        <w:rPr>
          <w:bCs/>
          <w:color w:val="000000"/>
          <w:sz w:val="22"/>
          <w:szCs w:val="22"/>
        </w:rPr>
        <w:t>2.9</w:t>
      </w:r>
      <w:r w:rsidR="00DC2BB1">
        <w:rPr>
          <w:bCs/>
          <w:color w:val="000000"/>
          <w:sz w:val="22"/>
          <w:szCs w:val="22"/>
        </w:rPr>
        <w:t>%</w:t>
      </w:r>
      <w:r w:rsidR="006E5034">
        <w:rPr>
          <w:bCs/>
          <w:color w:val="000000"/>
          <w:sz w:val="22"/>
          <w:szCs w:val="22"/>
        </w:rPr>
        <w:t>), Bulgaria (2.7%)</w:t>
      </w:r>
      <w:r w:rsidR="004A0405">
        <w:rPr>
          <w:bCs/>
          <w:color w:val="000000"/>
          <w:sz w:val="22"/>
          <w:szCs w:val="22"/>
        </w:rPr>
        <w:t xml:space="preserve"> and Croatia (1.5%).</w:t>
      </w:r>
    </w:p>
    <w:p w14:paraId="6F164C9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585A07D" w14:textId="32A86A75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6AAEA8" w14:textId="13385EA9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1BB354E" w14:textId="47728D74" w:rsidR="001142A5" w:rsidRDefault="00E93C78" w:rsidP="00AD3D5F">
      <w:pPr>
        <w:pStyle w:val="FootnoteText"/>
        <w:tabs>
          <w:tab w:val="left" w:pos="360"/>
        </w:tabs>
        <w:jc w:val="center"/>
      </w:pPr>
      <w:r w:rsidRPr="00E93C78">
        <w:rPr>
          <w:noProof/>
          <w:lang w:val="nl-BE" w:eastAsia="nl-BE"/>
        </w:rPr>
        <w:drawing>
          <wp:anchor distT="0" distB="0" distL="114300" distR="114300" simplePos="0" relativeHeight="251689984" behindDoc="0" locked="0" layoutInCell="1" allowOverlap="1" wp14:anchorId="63ABA370" wp14:editId="1540ED6A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583600" cy="6332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00" cy="63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8B5BF" w14:textId="4F45E51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1613401" w14:textId="3E06BBD0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914FF7A" w14:textId="22A0A816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599C18F" w14:textId="13269899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6A38DC7" w14:textId="7FE1A10C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B82C47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2B7D36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136366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7D16C9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840145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D59BAA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65B73F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D7C7A8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B75AF4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CD180D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C48C0B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1571E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7BEE9C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21C639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259D4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C108011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00DF800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EFDA1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8E5FC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FD17F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E8DC4FD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FCAD85B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3DAE89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01A826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40ACD6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D7652D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F54CFF5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3BAB948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D62B95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F6E76E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BD3A23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1037B0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D930A2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CF9D28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70FA7F8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EAB9DD9" w14:textId="77777777" w:rsidR="001142A5" w:rsidRDefault="001142A5" w:rsidP="00390127">
      <w:pPr>
        <w:pStyle w:val="FootnoteText"/>
        <w:tabs>
          <w:tab w:val="left" w:pos="360"/>
        </w:tabs>
      </w:pPr>
    </w:p>
    <w:p w14:paraId="58D375FB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6BD1C08" w14:textId="77777777" w:rsidR="00236194" w:rsidRDefault="00236194" w:rsidP="00AD3D5F">
      <w:pPr>
        <w:pStyle w:val="FootnoteText"/>
        <w:tabs>
          <w:tab w:val="left" w:pos="360"/>
        </w:tabs>
        <w:jc w:val="center"/>
      </w:pPr>
    </w:p>
    <w:p w14:paraId="2FE9470F" w14:textId="77777777" w:rsidR="00236194" w:rsidRDefault="00236194" w:rsidP="00AD3D5F">
      <w:pPr>
        <w:pStyle w:val="FootnoteText"/>
        <w:tabs>
          <w:tab w:val="left" w:pos="360"/>
        </w:tabs>
        <w:jc w:val="center"/>
      </w:pPr>
    </w:p>
    <w:p w14:paraId="43620A75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2337F00A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40078B0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1122D59A" w14:textId="57572D86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>
        <w:rPr>
          <w:b/>
          <w:bCs/>
          <w:color w:val="0000FF"/>
          <w:sz w:val="22"/>
          <w:szCs w:val="22"/>
          <w:lang w:val="en-US"/>
        </w:rPr>
        <w:t xml:space="preserve"> recorded net inflows of EUR </w:t>
      </w:r>
      <w:r w:rsidR="00D307A2">
        <w:rPr>
          <w:b/>
          <w:bCs/>
          <w:color w:val="0000FF"/>
          <w:sz w:val="22"/>
          <w:szCs w:val="22"/>
          <w:lang w:val="en-US"/>
        </w:rPr>
        <w:t>12</w:t>
      </w:r>
      <w:r>
        <w:rPr>
          <w:b/>
          <w:bCs/>
          <w:color w:val="0000FF"/>
          <w:sz w:val="22"/>
          <w:szCs w:val="22"/>
          <w:lang w:val="en-US"/>
        </w:rPr>
        <w:t xml:space="preserve"> billion in Q2 201</w:t>
      </w:r>
      <w:r w:rsidR="00D307A2">
        <w:rPr>
          <w:b/>
          <w:bCs/>
          <w:color w:val="0000FF"/>
          <w:sz w:val="22"/>
          <w:szCs w:val="22"/>
          <w:lang w:val="en-US"/>
        </w:rPr>
        <w:t>8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, </w:t>
      </w:r>
      <w:r w:rsidR="00D307A2">
        <w:rPr>
          <w:b/>
          <w:bCs/>
          <w:color w:val="0000FF"/>
          <w:sz w:val="22"/>
          <w:szCs w:val="22"/>
          <w:lang w:val="en-US"/>
        </w:rPr>
        <w:t>down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 from EUR </w:t>
      </w:r>
      <w:r w:rsidR="00D307A2">
        <w:rPr>
          <w:b/>
          <w:bCs/>
          <w:color w:val="0000FF"/>
          <w:sz w:val="22"/>
          <w:szCs w:val="22"/>
          <w:lang w:val="en-US"/>
        </w:rPr>
        <w:t>5</w:t>
      </w:r>
      <w:r w:rsidR="00055E3C">
        <w:rPr>
          <w:b/>
          <w:bCs/>
          <w:color w:val="0000FF"/>
          <w:sz w:val="22"/>
          <w:szCs w:val="22"/>
          <w:lang w:val="en-US"/>
        </w:rPr>
        <w:t>2 billion in Q1</w:t>
      </w:r>
      <w:r>
        <w:rPr>
          <w:b/>
          <w:bCs/>
          <w:color w:val="0000FF"/>
          <w:sz w:val="22"/>
          <w:szCs w:val="22"/>
          <w:lang w:val="en-US"/>
        </w:rPr>
        <w:t>.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So far in 201</w:t>
      </w:r>
      <w:r w:rsidR="00D307A2">
        <w:rPr>
          <w:b/>
          <w:bCs/>
          <w:color w:val="0000FF"/>
          <w:sz w:val="22"/>
          <w:szCs w:val="22"/>
          <w:lang w:val="en-US"/>
        </w:rPr>
        <w:t>8</w:t>
      </w:r>
      <w:r w:rsidR="00D2643F">
        <w:rPr>
          <w:b/>
          <w:bCs/>
          <w:color w:val="0000FF"/>
          <w:sz w:val="22"/>
          <w:szCs w:val="22"/>
          <w:lang w:val="en-US"/>
        </w:rPr>
        <w:t>, 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have garnered net sales of EUR </w:t>
      </w:r>
      <w:r w:rsidR="00D307A2">
        <w:rPr>
          <w:b/>
          <w:bCs/>
          <w:color w:val="0000FF"/>
          <w:sz w:val="22"/>
          <w:szCs w:val="22"/>
          <w:lang w:val="en-US"/>
        </w:rPr>
        <w:t>64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billion, compared to EUR </w:t>
      </w:r>
      <w:r w:rsidR="00617A06">
        <w:rPr>
          <w:b/>
          <w:bCs/>
          <w:color w:val="0000FF"/>
          <w:sz w:val="22"/>
          <w:szCs w:val="22"/>
          <w:lang w:val="en-US"/>
        </w:rPr>
        <w:t xml:space="preserve">135 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billion in </w:t>
      </w:r>
      <w:r w:rsidR="00FD1CC8">
        <w:rPr>
          <w:b/>
          <w:bCs/>
          <w:color w:val="0000FF"/>
          <w:sz w:val="22"/>
          <w:szCs w:val="22"/>
          <w:lang w:val="en-US"/>
        </w:rPr>
        <w:t xml:space="preserve">the first half </w:t>
      </w:r>
      <w:r w:rsidR="00617A06">
        <w:rPr>
          <w:b/>
          <w:bCs/>
          <w:color w:val="0000FF"/>
          <w:sz w:val="22"/>
          <w:szCs w:val="22"/>
          <w:lang w:val="en-US"/>
        </w:rPr>
        <w:t xml:space="preserve">of </w:t>
      </w:r>
      <w:r w:rsidR="00D2643F">
        <w:rPr>
          <w:b/>
          <w:bCs/>
          <w:color w:val="0000FF"/>
          <w:sz w:val="22"/>
          <w:szCs w:val="22"/>
          <w:lang w:val="en-US"/>
        </w:rPr>
        <w:t>201</w:t>
      </w:r>
      <w:r w:rsidR="00D307A2">
        <w:rPr>
          <w:b/>
          <w:bCs/>
          <w:color w:val="0000FF"/>
          <w:sz w:val="22"/>
          <w:szCs w:val="22"/>
          <w:lang w:val="en-US"/>
        </w:rPr>
        <w:t>7</w:t>
      </w:r>
      <w:r w:rsidR="00D2643F">
        <w:rPr>
          <w:b/>
          <w:bCs/>
          <w:color w:val="0000FF"/>
          <w:sz w:val="22"/>
          <w:szCs w:val="22"/>
          <w:lang w:val="en-US"/>
        </w:rPr>
        <w:t>.</w:t>
      </w:r>
    </w:p>
    <w:p w14:paraId="00692A60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5D8B458B" w14:textId="1FEF4E90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Long-term AIF</w:t>
      </w:r>
      <w:r w:rsidR="00381386">
        <w:rPr>
          <w:bCs/>
          <w:color w:val="000000"/>
          <w:sz w:val="22"/>
          <w:szCs w:val="22"/>
        </w:rPr>
        <w:t>s</w:t>
      </w:r>
      <w:r w:rsidRPr="007D3A6C">
        <w:rPr>
          <w:bCs/>
          <w:color w:val="000000"/>
          <w:sz w:val="22"/>
          <w:szCs w:val="22"/>
        </w:rPr>
        <w:t xml:space="preserve"> </w:t>
      </w:r>
      <w:r w:rsidR="009C0167">
        <w:rPr>
          <w:bCs/>
          <w:color w:val="000000"/>
          <w:sz w:val="22"/>
          <w:szCs w:val="22"/>
        </w:rPr>
        <w:t>recorded net sales</w:t>
      </w:r>
      <w:r>
        <w:rPr>
          <w:bCs/>
          <w:color w:val="000000"/>
          <w:sz w:val="22"/>
          <w:szCs w:val="22"/>
        </w:rPr>
        <w:t xml:space="preserve"> of EUR </w:t>
      </w:r>
      <w:r w:rsidR="00D307A2">
        <w:rPr>
          <w:bCs/>
          <w:color w:val="000000"/>
          <w:sz w:val="22"/>
          <w:szCs w:val="22"/>
        </w:rPr>
        <w:t>14</w:t>
      </w:r>
      <w:r>
        <w:rPr>
          <w:bCs/>
          <w:color w:val="000000"/>
          <w:sz w:val="22"/>
          <w:szCs w:val="22"/>
        </w:rPr>
        <w:t xml:space="preserve"> billion, </w:t>
      </w:r>
      <w:r w:rsidR="00D307A2">
        <w:rPr>
          <w:bCs/>
          <w:color w:val="000000"/>
          <w:sz w:val="22"/>
          <w:szCs w:val="22"/>
        </w:rPr>
        <w:t>down</w:t>
      </w:r>
      <w:r>
        <w:rPr>
          <w:bCs/>
          <w:color w:val="000000"/>
          <w:sz w:val="22"/>
          <w:szCs w:val="22"/>
        </w:rPr>
        <w:t xml:space="preserve"> from</w:t>
      </w:r>
      <w:r w:rsidRPr="00A7353F">
        <w:rPr>
          <w:bCs/>
          <w:color w:val="000000"/>
          <w:sz w:val="22"/>
          <w:szCs w:val="22"/>
        </w:rPr>
        <w:t xml:space="preserve"> EUR </w:t>
      </w:r>
      <w:r w:rsidR="00D307A2">
        <w:rPr>
          <w:bCs/>
          <w:color w:val="000000"/>
          <w:sz w:val="22"/>
          <w:szCs w:val="22"/>
        </w:rPr>
        <w:t>53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Q1 201</w:t>
      </w:r>
      <w:r w:rsidR="00D307A2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. </w:t>
      </w:r>
      <w:r w:rsidR="00F2161F">
        <w:rPr>
          <w:bCs/>
          <w:color w:val="000000"/>
          <w:sz w:val="22"/>
          <w:szCs w:val="22"/>
        </w:rPr>
        <w:t>E</w:t>
      </w:r>
      <w:r w:rsidR="00712AAB">
        <w:rPr>
          <w:bCs/>
          <w:color w:val="000000"/>
          <w:sz w:val="22"/>
          <w:szCs w:val="22"/>
        </w:rPr>
        <w:t xml:space="preserve">quity funds </w:t>
      </w:r>
      <w:r w:rsidR="006267A8">
        <w:rPr>
          <w:bCs/>
          <w:color w:val="000000"/>
          <w:sz w:val="22"/>
          <w:szCs w:val="22"/>
        </w:rPr>
        <w:t xml:space="preserve">registered net outflows of </w:t>
      </w:r>
      <w:r>
        <w:rPr>
          <w:bCs/>
          <w:color w:val="000000"/>
          <w:sz w:val="22"/>
          <w:szCs w:val="22"/>
        </w:rPr>
        <w:t xml:space="preserve">EUR </w:t>
      </w:r>
      <w:r w:rsidR="004A0405"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 xml:space="preserve"> billion in the </w:t>
      </w:r>
      <w:r w:rsidR="004A0405">
        <w:rPr>
          <w:bCs/>
          <w:color w:val="000000"/>
          <w:sz w:val="22"/>
          <w:szCs w:val="22"/>
        </w:rPr>
        <w:t xml:space="preserve">second </w:t>
      </w:r>
      <w:r>
        <w:rPr>
          <w:bCs/>
          <w:color w:val="000000"/>
          <w:sz w:val="22"/>
          <w:szCs w:val="22"/>
        </w:rPr>
        <w:t>quarter</w:t>
      </w:r>
      <w:r w:rsidR="004A0405">
        <w:rPr>
          <w:bCs/>
          <w:color w:val="000000"/>
          <w:sz w:val="22"/>
          <w:szCs w:val="22"/>
        </w:rPr>
        <w:t xml:space="preserve"> of 2018</w:t>
      </w:r>
      <w:r w:rsidR="00390127">
        <w:rPr>
          <w:bCs/>
          <w:color w:val="000000"/>
          <w:sz w:val="22"/>
          <w:szCs w:val="22"/>
        </w:rPr>
        <w:t xml:space="preserve">, compared to net outflows of </w:t>
      </w:r>
      <w:r>
        <w:rPr>
          <w:bCs/>
          <w:color w:val="000000"/>
          <w:sz w:val="22"/>
          <w:szCs w:val="22"/>
        </w:rPr>
        <w:t xml:space="preserve">EUR </w:t>
      </w:r>
      <w:r w:rsidR="004A0405">
        <w:rPr>
          <w:bCs/>
          <w:color w:val="000000"/>
          <w:sz w:val="22"/>
          <w:szCs w:val="22"/>
        </w:rPr>
        <w:t xml:space="preserve">2 </w:t>
      </w:r>
      <w:r>
        <w:rPr>
          <w:bCs/>
          <w:color w:val="000000"/>
          <w:sz w:val="22"/>
          <w:szCs w:val="22"/>
        </w:rPr>
        <w:t xml:space="preserve">billion in </w:t>
      </w:r>
      <w:r w:rsidR="00B50254">
        <w:rPr>
          <w:bCs/>
          <w:color w:val="000000"/>
          <w:sz w:val="22"/>
          <w:szCs w:val="22"/>
        </w:rPr>
        <w:t>Q1</w:t>
      </w:r>
      <w:r>
        <w:rPr>
          <w:bCs/>
          <w:color w:val="000000"/>
          <w:sz w:val="22"/>
          <w:szCs w:val="22"/>
        </w:rPr>
        <w:t xml:space="preserve">. </w:t>
      </w:r>
      <w:r w:rsidR="004A0405">
        <w:rPr>
          <w:bCs/>
          <w:color w:val="000000"/>
          <w:sz w:val="22"/>
          <w:szCs w:val="22"/>
        </w:rPr>
        <w:t xml:space="preserve">Net </w:t>
      </w:r>
      <w:r w:rsidR="00F2161F">
        <w:rPr>
          <w:bCs/>
          <w:color w:val="000000"/>
          <w:sz w:val="22"/>
          <w:szCs w:val="22"/>
        </w:rPr>
        <w:t>sales of</w:t>
      </w:r>
      <w:r>
        <w:rPr>
          <w:bCs/>
          <w:color w:val="000000"/>
          <w:sz w:val="22"/>
          <w:szCs w:val="22"/>
        </w:rPr>
        <w:t xml:space="preserve"> multi-asset funds </w:t>
      </w:r>
      <w:r w:rsidR="004A0405">
        <w:rPr>
          <w:bCs/>
          <w:color w:val="000000"/>
          <w:sz w:val="22"/>
          <w:szCs w:val="22"/>
        </w:rPr>
        <w:t>reversed</w:t>
      </w:r>
      <w:r w:rsidR="007A1202">
        <w:rPr>
          <w:bCs/>
          <w:color w:val="000000"/>
          <w:sz w:val="22"/>
          <w:szCs w:val="22"/>
        </w:rPr>
        <w:t xml:space="preserve"> in Q2</w:t>
      </w:r>
      <w:r w:rsidR="00B50254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from </w:t>
      </w:r>
      <w:r w:rsidR="00390127">
        <w:rPr>
          <w:bCs/>
          <w:color w:val="000000"/>
          <w:sz w:val="22"/>
          <w:szCs w:val="22"/>
        </w:rPr>
        <w:t xml:space="preserve">inflows of </w:t>
      </w:r>
      <w:r>
        <w:rPr>
          <w:bCs/>
          <w:color w:val="000000"/>
          <w:sz w:val="22"/>
          <w:szCs w:val="22"/>
        </w:rPr>
        <w:t xml:space="preserve">EUR 13 billion in Q1 to </w:t>
      </w:r>
      <w:r w:rsidR="00390127">
        <w:rPr>
          <w:bCs/>
          <w:color w:val="000000"/>
          <w:sz w:val="22"/>
          <w:szCs w:val="22"/>
        </w:rPr>
        <w:t>outflows of EUR 1</w:t>
      </w:r>
      <w:r>
        <w:rPr>
          <w:bCs/>
          <w:color w:val="000000"/>
          <w:sz w:val="22"/>
          <w:szCs w:val="22"/>
        </w:rPr>
        <w:t xml:space="preserve"> billion.</w:t>
      </w:r>
      <w:r w:rsidRPr="00A7353F">
        <w:rPr>
          <w:bCs/>
          <w:color w:val="000000"/>
          <w:sz w:val="22"/>
          <w:szCs w:val="22"/>
        </w:rPr>
        <w:t xml:space="preserve"> </w:t>
      </w:r>
      <w:r w:rsidR="00712AAB">
        <w:rPr>
          <w:bCs/>
          <w:color w:val="000000"/>
          <w:sz w:val="22"/>
          <w:szCs w:val="22"/>
        </w:rPr>
        <w:t xml:space="preserve">Net </w:t>
      </w:r>
      <w:r w:rsidR="004A0405">
        <w:rPr>
          <w:bCs/>
          <w:color w:val="000000"/>
          <w:sz w:val="22"/>
          <w:szCs w:val="22"/>
        </w:rPr>
        <w:t>outflows</w:t>
      </w:r>
      <w:r>
        <w:rPr>
          <w:bCs/>
          <w:color w:val="000000"/>
          <w:sz w:val="22"/>
          <w:szCs w:val="22"/>
        </w:rPr>
        <w:t xml:space="preserve"> of </w:t>
      </w:r>
      <w:r w:rsidR="00A31822">
        <w:rPr>
          <w:bCs/>
          <w:color w:val="000000"/>
          <w:sz w:val="22"/>
          <w:szCs w:val="22"/>
        </w:rPr>
        <w:t>b</w:t>
      </w:r>
      <w:r>
        <w:rPr>
          <w:bCs/>
          <w:color w:val="000000"/>
          <w:sz w:val="22"/>
          <w:szCs w:val="22"/>
        </w:rPr>
        <w:t>ond</w:t>
      </w:r>
      <w:r w:rsidRPr="00A7353F">
        <w:rPr>
          <w:bCs/>
          <w:color w:val="000000"/>
          <w:sz w:val="22"/>
          <w:szCs w:val="22"/>
        </w:rPr>
        <w:t xml:space="preserve"> funds </w:t>
      </w:r>
      <w:r w:rsidR="00712AAB">
        <w:rPr>
          <w:bCs/>
          <w:color w:val="000000"/>
          <w:sz w:val="22"/>
          <w:szCs w:val="22"/>
        </w:rPr>
        <w:t xml:space="preserve">amounted to EUR </w:t>
      </w:r>
      <w:r w:rsidR="00390127">
        <w:rPr>
          <w:bCs/>
          <w:color w:val="000000"/>
          <w:sz w:val="22"/>
          <w:szCs w:val="22"/>
        </w:rPr>
        <w:t>6</w:t>
      </w:r>
      <w:r w:rsidR="00712AAB">
        <w:rPr>
          <w:bCs/>
          <w:color w:val="000000"/>
          <w:sz w:val="22"/>
          <w:szCs w:val="22"/>
        </w:rPr>
        <w:t xml:space="preserve"> billion at the end of the quarter</w:t>
      </w:r>
      <w:r>
        <w:rPr>
          <w:bCs/>
          <w:color w:val="000000"/>
          <w:sz w:val="22"/>
          <w:szCs w:val="22"/>
        </w:rPr>
        <w:t xml:space="preserve">, </w:t>
      </w:r>
      <w:r w:rsidR="00390127">
        <w:rPr>
          <w:bCs/>
          <w:color w:val="000000"/>
          <w:sz w:val="22"/>
          <w:szCs w:val="22"/>
        </w:rPr>
        <w:t xml:space="preserve">compared to EUR 4 billion in the previous quarter. </w:t>
      </w:r>
      <w:r>
        <w:rPr>
          <w:bCs/>
          <w:color w:val="000000"/>
          <w:sz w:val="22"/>
          <w:szCs w:val="22"/>
        </w:rPr>
        <w:t xml:space="preserve">Net sales of other funds </w:t>
      </w:r>
      <w:r w:rsidR="00390127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>creased from EUR 3</w:t>
      </w:r>
      <w:r w:rsidR="00390127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 xml:space="preserve"> billion in Q1 201</w:t>
      </w:r>
      <w:r w:rsidR="00390127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 to EUR </w:t>
      </w:r>
      <w:r w:rsidR="00390127">
        <w:rPr>
          <w:bCs/>
          <w:color w:val="000000"/>
          <w:sz w:val="22"/>
          <w:szCs w:val="22"/>
        </w:rPr>
        <w:t>21</w:t>
      </w:r>
      <w:r w:rsidR="00C91938">
        <w:rPr>
          <w:bCs/>
          <w:color w:val="000000"/>
          <w:sz w:val="22"/>
          <w:szCs w:val="22"/>
        </w:rPr>
        <w:t xml:space="preserve"> billion in Q2</w:t>
      </w:r>
      <w:r w:rsidR="00617A06">
        <w:rPr>
          <w:bCs/>
          <w:color w:val="000000"/>
          <w:sz w:val="22"/>
          <w:szCs w:val="22"/>
        </w:rPr>
        <w:t>.</w:t>
      </w:r>
    </w:p>
    <w:p w14:paraId="42F7C6D4" w14:textId="1B0419A7" w:rsidR="001142A5" w:rsidRPr="00955553" w:rsidRDefault="005D2B1C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4144" behindDoc="0" locked="0" layoutInCell="1" allowOverlap="1" wp14:anchorId="2548C19D" wp14:editId="08DE2E38">
            <wp:simplePos x="0" y="0"/>
            <wp:positionH relativeFrom="column">
              <wp:posOffset>-116072</wp:posOffset>
            </wp:positionH>
            <wp:positionV relativeFrom="paragraph">
              <wp:posOffset>197731</wp:posOffset>
            </wp:positionV>
            <wp:extent cx="3436449" cy="2087880"/>
            <wp:effectExtent l="0" t="0" r="0" b="7620"/>
            <wp:wrapNone/>
            <wp:docPr id="2456" name="Picture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92" cy="208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3995E" w14:textId="51F765AA" w:rsidR="001142A5" w:rsidRPr="00FD75CC" w:rsidRDefault="00FD75CC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5168" behindDoc="0" locked="0" layoutInCell="1" allowOverlap="1" wp14:anchorId="54093F2F" wp14:editId="01C9E2E4">
            <wp:simplePos x="0" y="0"/>
            <wp:positionH relativeFrom="column">
              <wp:posOffset>3179445</wp:posOffset>
            </wp:positionH>
            <wp:positionV relativeFrom="paragraph">
              <wp:posOffset>71120</wp:posOffset>
            </wp:positionV>
            <wp:extent cx="3406775" cy="2087880"/>
            <wp:effectExtent l="0" t="0" r="0" b="0"/>
            <wp:wrapNone/>
            <wp:docPr id="2458" name="Picture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89A2" w14:textId="646455C8" w:rsidR="001142A5" w:rsidRPr="00FD75CC" w:rsidRDefault="005D2B1C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0" locked="0" layoutInCell="1" allowOverlap="1" wp14:anchorId="0D450A65" wp14:editId="05582550">
            <wp:simplePos x="0" y="0"/>
            <wp:positionH relativeFrom="column">
              <wp:posOffset>3216294</wp:posOffset>
            </wp:positionH>
            <wp:positionV relativeFrom="paragraph">
              <wp:posOffset>2213610</wp:posOffset>
            </wp:positionV>
            <wp:extent cx="3429635" cy="2087880"/>
            <wp:effectExtent l="0" t="0" r="0" b="7620"/>
            <wp:wrapNone/>
            <wp:docPr id="2460" name="Picture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911FF20" wp14:editId="7E26B747">
            <wp:simplePos x="0" y="0"/>
            <wp:positionH relativeFrom="column">
              <wp:posOffset>3200258</wp:posOffset>
            </wp:positionH>
            <wp:positionV relativeFrom="paragraph">
              <wp:posOffset>4457065</wp:posOffset>
            </wp:positionV>
            <wp:extent cx="3476938" cy="2087880"/>
            <wp:effectExtent l="0" t="0" r="0" b="7620"/>
            <wp:wrapNone/>
            <wp:docPr id="2462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38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647BD32B" wp14:editId="783BD309">
            <wp:simplePos x="0" y="0"/>
            <wp:positionH relativeFrom="column">
              <wp:posOffset>-122896</wp:posOffset>
            </wp:positionH>
            <wp:positionV relativeFrom="paragraph">
              <wp:posOffset>4484417</wp:posOffset>
            </wp:positionV>
            <wp:extent cx="3413134" cy="2087880"/>
            <wp:effectExtent l="0" t="0" r="0" b="0"/>
            <wp:wrapNone/>
            <wp:docPr id="2461" name="Picture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28" cy="208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CC"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192" behindDoc="0" locked="0" layoutInCell="1" allowOverlap="1" wp14:anchorId="728D38A1" wp14:editId="2EC28056">
            <wp:simplePos x="0" y="0"/>
            <wp:positionH relativeFrom="column">
              <wp:posOffset>-114935</wp:posOffset>
            </wp:positionH>
            <wp:positionV relativeFrom="paragraph">
              <wp:posOffset>2213610</wp:posOffset>
            </wp:positionV>
            <wp:extent cx="3433445" cy="2087880"/>
            <wp:effectExtent l="0" t="0" r="0" b="0"/>
            <wp:wrapNone/>
            <wp:docPr id="2459" name="Picture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6CFFE790" w14:textId="77777777" w:rsidR="001142A5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306365B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42E92F" w14:textId="5F5DE539" w:rsidR="006601F7" w:rsidRDefault="00390127" w:rsidP="001142A5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Fif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teen countries experienced net inflows </w:t>
      </w:r>
      <w:r w:rsidR="006601F7" w:rsidRPr="006601F7">
        <w:rPr>
          <w:b/>
          <w:color w:val="0000FF"/>
          <w:sz w:val="22"/>
          <w:szCs w:val="22"/>
          <w:lang w:eastAsia="fr-FR"/>
        </w:rPr>
        <w:t>into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AIF</w:t>
      </w:r>
      <w:r w:rsidR="00381386">
        <w:rPr>
          <w:b/>
          <w:color w:val="0000FF"/>
          <w:sz w:val="22"/>
          <w:szCs w:val="22"/>
          <w:lang w:eastAsia="fr-FR"/>
        </w:rPr>
        <w:t>s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in Q2 201</w:t>
      </w:r>
      <w:r>
        <w:rPr>
          <w:b/>
          <w:color w:val="0000FF"/>
          <w:sz w:val="22"/>
          <w:szCs w:val="22"/>
          <w:lang w:eastAsia="fr-FR"/>
        </w:rPr>
        <w:t>8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, with </w:t>
      </w:r>
      <w:r>
        <w:rPr>
          <w:b/>
          <w:color w:val="0000FF"/>
          <w:sz w:val="22"/>
          <w:szCs w:val="22"/>
          <w:lang w:eastAsia="fr-FR"/>
        </w:rPr>
        <w:t>three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countries recording net inflows higher than EUR 1 billion</w:t>
      </w:r>
      <w:r w:rsidR="006601F7" w:rsidRPr="006601F7">
        <w:rPr>
          <w:b/>
          <w:color w:val="0000FF"/>
          <w:sz w:val="22"/>
          <w:szCs w:val="22"/>
          <w:lang w:eastAsia="fr-FR"/>
        </w:rPr>
        <w:t>.</w:t>
      </w:r>
      <w:r w:rsidR="006601F7">
        <w:rPr>
          <w:color w:val="000000"/>
          <w:sz w:val="22"/>
          <w:szCs w:val="22"/>
          <w:lang w:eastAsia="fr-FR"/>
        </w:rPr>
        <w:t xml:space="preserve"> </w:t>
      </w:r>
    </w:p>
    <w:p w14:paraId="51F8B4FF" w14:textId="77777777" w:rsidR="006601F7" w:rsidRDefault="006601F7" w:rsidP="001142A5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14:paraId="35FB1997" w14:textId="77777777" w:rsidR="00B50254" w:rsidRDefault="006601F7" w:rsidP="00DF5584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N</w:t>
      </w:r>
      <w:r w:rsidR="001142A5">
        <w:rPr>
          <w:color w:val="000000"/>
          <w:sz w:val="22"/>
          <w:szCs w:val="22"/>
          <w:lang w:eastAsia="fr-FR"/>
        </w:rPr>
        <w:t xml:space="preserve">et inflows above EUR 1 billion were registered in </w:t>
      </w:r>
      <w:r w:rsidR="00390127">
        <w:rPr>
          <w:color w:val="000000"/>
          <w:sz w:val="22"/>
          <w:szCs w:val="22"/>
          <w:lang w:eastAsia="fr-FR"/>
        </w:rPr>
        <w:t>Germany (EUR 15</w:t>
      </w:r>
      <w:r w:rsidR="00DF5584">
        <w:rPr>
          <w:color w:val="000000"/>
          <w:sz w:val="22"/>
          <w:szCs w:val="22"/>
          <w:lang w:eastAsia="fr-FR"/>
        </w:rPr>
        <w:t>.0</w:t>
      </w:r>
      <w:r w:rsidR="00390127">
        <w:rPr>
          <w:color w:val="000000"/>
          <w:sz w:val="22"/>
          <w:szCs w:val="22"/>
          <w:lang w:eastAsia="fr-FR"/>
        </w:rPr>
        <w:t xml:space="preserve"> billion), Luxembourg (EUR 9.7 billion</w:t>
      </w:r>
      <w:r w:rsidR="00390127" w:rsidRPr="009D38D1">
        <w:rPr>
          <w:color w:val="000000"/>
          <w:sz w:val="22"/>
          <w:szCs w:val="22"/>
          <w:lang w:eastAsia="fr-FR"/>
        </w:rPr>
        <w:t xml:space="preserve"> </w:t>
      </w:r>
      <w:r w:rsidR="00390127">
        <w:rPr>
          <w:color w:val="000000"/>
          <w:sz w:val="22"/>
          <w:szCs w:val="22"/>
          <w:lang w:eastAsia="fr-FR"/>
        </w:rPr>
        <w:t xml:space="preserve">and </w:t>
      </w:r>
      <w:r w:rsidR="001142A5" w:rsidRPr="009D38D1">
        <w:rPr>
          <w:color w:val="000000"/>
          <w:sz w:val="22"/>
          <w:szCs w:val="22"/>
          <w:lang w:eastAsia="fr-FR"/>
        </w:rPr>
        <w:t xml:space="preserve">Ireland (EUR </w:t>
      </w:r>
      <w:r w:rsidR="00390127">
        <w:rPr>
          <w:color w:val="000000"/>
          <w:sz w:val="22"/>
          <w:szCs w:val="22"/>
          <w:lang w:eastAsia="fr-FR"/>
        </w:rPr>
        <w:t>9.6</w:t>
      </w:r>
      <w:r w:rsidR="001142A5" w:rsidRPr="009D38D1">
        <w:rPr>
          <w:color w:val="000000"/>
          <w:sz w:val="22"/>
          <w:szCs w:val="22"/>
          <w:lang w:eastAsia="fr-FR"/>
        </w:rPr>
        <w:t xml:space="preserve"> billion)</w:t>
      </w:r>
      <w:r w:rsidR="001142A5">
        <w:rPr>
          <w:color w:val="000000"/>
          <w:sz w:val="22"/>
          <w:szCs w:val="22"/>
          <w:lang w:eastAsia="fr-FR"/>
        </w:rPr>
        <w:t xml:space="preserve">. </w:t>
      </w:r>
    </w:p>
    <w:p w14:paraId="26D944CB" w14:textId="77777777" w:rsidR="00B50254" w:rsidRDefault="00B50254" w:rsidP="00DF5584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14:paraId="4D447D77" w14:textId="04AAD1E1" w:rsidR="001142A5" w:rsidRDefault="001142A5" w:rsidP="00DF5584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The largest </w:t>
      </w:r>
      <w:r w:rsidR="000F4E8E">
        <w:rPr>
          <w:sz w:val="22"/>
          <w:szCs w:val="22"/>
          <w:lang w:eastAsia="fr-FR"/>
        </w:rPr>
        <w:t xml:space="preserve">net </w:t>
      </w:r>
      <w:r>
        <w:rPr>
          <w:sz w:val="22"/>
          <w:szCs w:val="22"/>
          <w:lang w:eastAsia="fr-FR"/>
        </w:rPr>
        <w:t xml:space="preserve">outflows during the quarter were registered in France (EUR </w:t>
      </w:r>
      <w:r w:rsidR="00390127">
        <w:rPr>
          <w:sz w:val="22"/>
          <w:szCs w:val="22"/>
          <w:lang w:eastAsia="fr-FR"/>
        </w:rPr>
        <w:t>1</w:t>
      </w:r>
      <w:r w:rsidR="00DF5584">
        <w:rPr>
          <w:sz w:val="22"/>
          <w:szCs w:val="22"/>
          <w:lang w:eastAsia="fr-FR"/>
        </w:rPr>
        <w:t xml:space="preserve">1.3 </w:t>
      </w:r>
      <w:r>
        <w:rPr>
          <w:sz w:val="22"/>
          <w:szCs w:val="22"/>
          <w:lang w:eastAsia="fr-FR"/>
        </w:rPr>
        <w:t>billion)</w:t>
      </w:r>
      <w:r w:rsidR="004A0405">
        <w:rPr>
          <w:sz w:val="22"/>
          <w:szCs w:val="22"/>
          <w:lang w:eastAsia="fr-FR"/>
        </w:rPr>
        <w:t>, followed by the Netherlands (EUR 5.</w:t>
      </w:r>
      <w:r w:rsidR="00617A06">
        <w:rPr>
          <w:sz w:val="22"/>
          <w:szCs w:val="22"/>
          <w:lang w:eastAsia="fr-FR"/>
        </w:rPr>
        <w:t>6</w:t>
      </w:r>
      <w:r w:rsidR="004A0405">
        <w:rPr>
          <w:sz w:val="22"/>
          <w:szCs w:val="22"/>
          <w:lang w:eastAsia="fr-FR"/>
        </w:rPr>
        <w:t xml:space="preserve"> billion) and the United Kingdom (EUR 5.4 billion).</w:t>
      </w:r>
    </w:p>
    <w:p w14:paraId="41D5A0B9" w14:textId="77777777" w:rsidR="00967D2C" w:rsidRDefault="00967D2C" w:rsidP="00DF5584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3B83BDD6" w14:textId="1D946DE6" w:rsidR="00967D2C" w:rsidRPr="00DF5584" w:rsidRDefault="00967D2C" w:rsidP="00DF5584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Other funds and real estate funds were the only types of AIF to register net inflows</w:t>
      </w:r>
      <w:r w:rsidR="00C91938">
        <w:rPr>
          <w:sz w:val="22"/>
          <w:szCs w:val="22"/>
          <w:lang w:eastAsia="fr-FR"/>
        </w:rPr>
        <w:t xml:space="preserve"> this quarter</w:t>
      </w:r>
      <w:r>
        <w:rPr>
          <w:sz w:val="22"/>
          <w:szCs w:val="22"/>
          <w:lang w:eastAsia="fr-FR"/>
        </w:rPr>
        <w:t>, EU</w:t>
      </w:r>
      <w:r w:rsidR="00276709">
        <w:rPr>
          <w:sz w:val="22"/>
          <w:szCs w:val="22"/>
          <w:lang w:eastAsia="fr-FR"/>
        </w:rPr>
        <w:t>R 21 billion and EUR 11 billion</w:t>
      </w:r>
      <w:r>
        <w:rPr>
          <w:sz w:val="22"/>
          <w:szCs w:val="22"/>
          <w:lang w:eastAsia="fr-FR"/>
        </w:rPr>
        <w:t xml:space="preserve">, respectively. </w:t>
      </w:r>
    </w:p>
    <w:p w14:paraId="578E2E79" w14:textId="77777777" w:rsidR="001142A5" w:rsidRPr="004A0405" w:rsidRDefault="001142A5" w:rsidP="001142A5">
      <w:pPr>
        <w:pStyle w:val="Footer"/>
        <w:jc w:val="center"/>
        <w:outlineLvl w:val="0"/>
        <w:rPr>
          <w:lang w:val="en-US"/>
        </w:rPr>
      </w:pPr>
    </w:p>
    <w:p w14:paraId="0499B58C" w14:textId="77777777" w:rsidR="001142A5" w:rsidRDefault="001142A5" w:rsidP="001142A5">
      <w:pPr>
        <w:pStyle w:val="Footer"/>
        <w:jc w:val="center"/>
        <w:outlineLvl w:val="0"/>
      </w:pPr>
    </w:p>
    <w:p w14:paraId="17D66A51" w14:textId="1ED2C3DE" w:rsidR="001142A5" w:rsidRPr="00FD75CC" w:rsidRDefault="00DE2778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2778">
        <w:rPr>
          <w:noProof/>
          <w:lang w:val="nl-BE" w:eastAsia="nl-BE"/>
        </w:rPr>
        <w:drawing>
          <wp:anchor distT="0" distB="0" distL="114300" distR="114300" simplePos="0" relativeHeight="251678720" behindDoc="0" locked="0" layoutInCell="1" allowOverlap="1" wp14:anchorId="20C10D50" wp14:editId="15B2DEF2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263640" cy="4881627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8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2A5"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17B97095" w14:textId="3AA5B22B" w:rsidR="001142A5" w:rsidRPr="00EA222B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Assets </w:t>
      </w:r>
      <w:r w:rsidR="007A1202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Number of Funds 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Investment Type</w:t>
      </w:r>
    </w:p>
    <w:p w14:paraId="4020BEB9" w14:textId="4C8D6CF2" w:rsidR="001142A5" w:rsidRPr="00EA222B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43419AB2" w14:textId="302FAD60" w:rsidR="001142A5" w:rsidRPr="00EA222B" w:rsidRDefault="001142A5" w:rsidP="00800427">
      <w:pPr>
        <w:pStyle w:val="Footer"/>
        <w:tabs>
          <w:tab w:val="left" w:pos="720"/>
          <w:tab w:val="left" w:pos="4320"/>
        </w:tabs>
        <w:spacing w:line="360" w:lineRule="auto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 w:rsidR="00800427"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800427">
        <w:rPr>
          <w:b/>
          <w:bCs/>
          <w:color w:val="0000FF"/>
          <w:sz w:val="22"/>
          <w:szCs w:val="22"/>
          <w:lang w:val="en-US"/>
        </w:rPr>
        <w:t xml:space="preserve"> increased by </w:t>
      </w:r>
      <w:r w:rsidR="00DF5584">
        <w:rPr>
          <w:b/>
          <w:bCs/>
          <w:color w:val="0000FF"/>
          <w:sz w:val="22"/>
          <w:szCs w:val="22"/>
          <w:lang w:val="en-US"/>
        </w:rPr>
        <w:t>1</w:t>
      </w:r>
      <w:r w:rsidR="00800427">
        <w:rPr>
          <w:b/>
          <w:bCs/>
          <w:color w:val="0000FF"/>
          <w:sz w:val="22"/>
          <w:szCs w:val="22"/>
          <w:lang w:val="en-US"/>
        </w:rPr>
        <w:t>.6%</w:t>
      </w:r>
      <w:r>
        <w:rPr>
          <w:b/>
          <w:bCs/>
          <w:color w:val="0000FF"/>
          <w:sz w:val="22"/>
          <w:szCs w:val="22"/>
          <w:lang w:val="en-US"/>
        </w:rPr>
        <w:t xml:space="preserve"> in the </w:t>
      </w:r>
      <w:r w:rsidR="000251D7">
        <w:rPr>
          <w:b/>
          <w:bCs/>
          <w:color w:val="0000FF"/>
          <w:sz w:val="22"/>
          <w:szCs w:val="22"/>
          <w:lang w:val="en-US"/>
        </w:rPr>
        <w:t xml:space="preserve">second quarter </w:t>
      </w:r>
      <w:r w:rsidR="00017E43">
        <w:rPr>
          <w:b/>
          <w:bCs/>
          <w:color w:val="0000FF"/>
          <w:sz w:val="22"/>
          <w:szCs w:val="22"/>
          <w:lang w:val="en-US"/>
        </w:rPr>
        <w:t xml:space="preserve">of 2018 </w:t>
      </w:r>
      <w:r w:rsidR="000251D7">
        <w:rPr>
          <w:b/>
          <w:bCs/>
          <w:color w:val="0000FF"/>
          <w:sz w:val="22"/>
          <w:szCs w:val="22"/>
          <w:lang w:val="en-US"/>
        </w:rPr>
        <w:t>to reach EUR 5,</w:t>
      </w:r>
      <w:r w:rsidR="00DF5584">
        <w:rPr>
          <w:b/>
          <w:bCs/>
          <w:color w:val="0000FF"/>
          <w:sz w:val="22"/>
          <w:szCs w:val="22"/>
          <w:lang w:val="en-US"/>
        </w:rPr>
        <w:t>965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 billion. </w:t>
      </w:r>
    </w:p>
    <w:p w14:paraId="46D87030" w14:textId="76F300BE" w:rsidR="001142A5" w:rsidRPr="00EA222B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14:paraId="7854ACE3" w14:textId="1571D58E" w:rsidR="001142A5" w:rsidRPr="00402E38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Q2 201</w:t>
      </w:r>
      <w:r w:rsidR="00DF5584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, </w:t>
      </w:r>
      <w:r w:rsidRPr="004931BA">
        <w:rPr>
          <w:color w:val="000000"/>
          <w:sz w:val="22"/>
          <w:szCs w:val="22"/>
        </w:rPr>
        <w:t xml:space="preserve">real estate funds </w:t>
      </w:r>
      <w:r>
        <w:rPr>
          <w:color w:val="000000"/>
          <w:sz w:val="22"/>
          <w:szCs w:val="22"/>
        </w:rPr>
        <w:t xml:space="preserve">recorded the largest asset growth </w:t>
      </w:r>
      <w:r w:rsidR="00DF5584">
        <w:rPr>
          <w:color w:val="000000"/>
          <w:sz w:val="22"/>
          <w:szCs w:val="22"/>
        </w:rPr>
        <w:t>(3</w:t>
      </w:r>
      <w:r w:rsidR="005B7982">
        <w:rPr>
          <w:color w:val="000000"/>
          <w:sz w:val="22"/>
          <w:szCs w:val="22"/>
        </w:rPr>
        <w:t>.9</w:t>
      </w:r>
      <w:r w:rsidRPr="004931BA">
        <w:rPr>
          <w:color w:val="000000"/>
          <w:sz w:val="22"/>
          <w:szCs w:val="22"/>
        </w:rPr>
        <w:t xml:space="preserve">%), </w:t>
      </w:r>
      <w:r>
        <w:rPr>
          <w:color w:val="000000"/>
          <w:sz w:val="22"/>
          <w:szCs w:val="22"/>
        </w:rPr>
        <w:t xml:space="preserve">followed by </w:t>
      </w:r>
      <w:r w:rsidR="00DF5584">
        <w:rPr>
          <w:color w:val="000000"/>
          <w:sz w:val="22"/>
          <w:szCs w:val="22"/>
        </w:rPr>
        <w:t>other AIF</w:t>
      </w:r>
      <w:r w:rsidR="00381386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(</w:t>
      </w:r>
      <w:r w:rsidR="00DF5584">
        <w:rPr>
          <w:color w:val="000000"/>
          <w:sz w:val="22"/>
          <w:szCs w:val="22"/>
        </w:rPr>
        <w:t>3.1</w:t>
      </w:r>
      <w:r>
        <w:rPr>
          <w:color w:val="000000"/>
          <w:sz w:val="22"/>
          <w:szCs w:val="22"/>
        </w:rPr>
        <w:t>%) and equity funds (</w:t>
      </w:r>
      <w:r w:rsidR="00DF558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.1%). </w:t>
      </w:r>
      <w:r w:rsidR="00017E43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ecreases in net assets were seen in </w:t>
      </w:r>
      <w:r w:rsidR="00DF5584">
        <w:rPr>
          <w:color w:val="000000"/>
          <w:sz w:val="22"/>
          <w:szCs w:val="22"/>
        </w:rPr>
        <w:t xml:space="preserve">guaranteed/protected funds </w:t>
      </w:r>
      <w:r w:rsidRPr="004931BA">
        <w:rPr>
          <w:color w:val="000000"/>
          <w:sz w:val="22"/>
          <w:szCs w:val="22"/>
        </w:rPr>
        <w:t>(</w:t>
      </w:r>
      <w:r w:rsidR="00DF5584">
        <w:rPr>
          <w:color w:val="000000"/>
          <w:sz w:val="22"/>
          <w:szCs w:val="22"/>
        </w:rPr>
        <w:t>1.2</w:t>
      </w:r>
      <w:r w:rsidRPr="004931BA">
        <w:rPr>
          <w:color w:val="000000"/>
          <w:sz w:val="22"/>
          <w:szCs w:val="22"/>
        </w:rPr>
        <w:t>%)</w:t>
      </w:r>
      <w:r>
        <w:rPr>
          <w:color w:val="000000"/>
          <w:sz w:val="22"/>
          <w:szCs w:val="22"/>
        </w:rPr>
        <w:t xml:space="preserve"> and</w:t>
      </w:r>
      <w:r w:rsidR="00DF5584">
        <w:rPr>
          <w:color w:val="000000"/>
          <w:sz w:val="22"/>
          <w:szCs w:val="22"/>
        </w:rPr>
        <w:t xml:space="preserve"> in </w:t>
      </w:r>
      <w:r w:rsidR="00DF5584" w:rsidRPr="004931BA">
        <w:rPr>
          <w:color w:val="000000"/>
          <w:sz w:val="22"/>
          <w:szCs w:val="22"/>
        </w:rPr>
        <w:t xml:space="preserve">money market funds </w:t>
      </w:r>
      <w:r w:rsidR="00DF5584">
        <w:rPr>
          <w:color w:val="000000"/>
          <w:sz w:val="22"/>
          <w:szCs w:val="22"/>
        </w:rPr>
        <w:t xml:space="preserve">(1.0%), </w:t>
      </w:r>
      <w:r w:rsidR="00017E43">
        <w:rPr>
          <w:color w:val="000000"/>
          <w:sz w:val="22"/>
          <w:szCs w:val="22"/>
        </w:rPr>
        <w:t>with a smaller decrease</w:t>
      </w:r>
      <w:r>
        <w:rPr>
          <w:color w:val="000000"/>
          <w:sz w:val="22"/>
          <w:szCs w:val="22"/>
        </w:rPr>
        <w:t xml:space="preserve"> in </w:t>
      </w:r>
      <w:r w:rsidR="00DF5584">
        <w:rPr>
          <w:color w:val="000000"/>
          <w:sz w:val="22"/>
          <w:szCs w:val="22"/>
        </w:rPr>
        <w:t xml:space="preserve">bond funds (0.6%). </w:t>
      </w:r>
    </w:p>
    <w:p w14:paraId="63797D4B" w14:textId="63F7228D" w:rsidR="001142A5" w:rsidRPr="005E3B02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</w:p>
    <w:p w14:paraId="46C897C3" w14:textId="2C683F88" w:rsidR="001142A5" w:rsidRDefault="00B37B38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</w:t>
      </w:r>
      <w:r w:rsidR="00CD2092">
        <w:rPr>
          <w:color w:val="000000"/>
          <w:sz w:val="22"/>
          <w:szCs w:val="22"/>
          <w:lang w:val="en-US"/>
        </w:rPr>
        <w:t>here were 28,</w:t>
      </w:r>
      <w:r w:rsidR="00DF5584">
        <w:rPr>
          <w:color w:val="000000"/>
          <w:sz w:val="22"/>
          <w:szCs w:val="22"/>
          <w:lang w:val="en-US"/>
        </w:rPr>
        <w:t>503</w:t>
      </w:r>
      <w:r w:rsidR="001142A5">
        <w:rPr>
          <w:color w:val="000000"/>
          <w:sz w:val="22"/>
          <w:szCs w:val="22"/>
          <w:lang w:val="en-US"/>
        </w:rPr>
        <w:t xml:space="preserve"> A</w:t>
      </w:r>
      <w:r w:rsidR="00381386">
        <w:rPr>
          <w:color w:val="000000"/>
          <w:sz w:val="22"/>
          <w:szCs w:val="22"/>
          <w:lang w:val="en-US"/>
        </w:rPr>
        <w:t>lternative Investment F</w:t>
      </w:r>
      <w:r w:rsidR="001142A5">
        <w:rPr>
          <w:color w:val="000000"/>
          <w:sz w:val="22"/>
          <w:szCs w:val="22"/>
          <w:lang w:val="en-US"/>
        </w:rPr>
        <w:t>unds at end Q2 201</w:t>
      </w:r>
      <w:r w:rsidR="00DF5584">
        <w:rPr>
          <w:color w:val="000000"/>
          <w:sz w:val="22"/>
          <w:szCs w:val="22"/>
          <w:lang w:val="en-US"/>
        </w:rPr>
        <w:t>8</w:t>
      </w:r>
      <w:r w:rsidR="001142A5">
        <w:rPr>
          <w:color w:val="000000"/>
          <w:sz w:val="22"/>
          <w:szCs w:val="22"/>
          <w:lang w:val="en-US"/>
        </w:rPr>
        <w:t>, compared to 28,</w:t>
      </w:r>
      <w:r w:rsidR="00DF5584">
        <w:rPr>
          <w:color w:val="000000"/>
          <w:sz w:val="22"/>
          <w:szCs w:val="22"/>
          <w:lang w:val="en-US"/>
        </w:rPr>
        <w:t>433</w:t>
      </w:r>
      <w:r w:rsidR="001142A5">
        <w:rPr>
          <w:color w:val="000000"/>
          <w:sz w:val="22"/>
          <w:szCs w:val="22"/>
          <w:lang w:val="en-US"/>
        </w:rPr>
        <w:t xml:space="preserve"> at end Q1 201</w:t>
      </w:r>
      <w:r w:rsidR="00DF5584">
        <w:rPr>
          <w:color w:val="000000"/>
          <w:sz w:val="22"/>
          <w:szCs w:val="22"/>
          <w:lang w:val="en-US"/>
        </w:rPr>
        <w:t>8</w:t>
      </w:r>
      <w:r w:rsidR="001142A5">
        <w:rPr>
          <w:color w:val="000000"/>
          <w:sz w:val="22"/>
          <w:szCs w:val="22"/>
          <w:lang w:val="en-US"/>
        </w:rPr>
        <w:t xml:space="preserve"> and 2</w:t>
      </w:r>
      <w:r w:rsidR="00DF5584">
        <w:rPr>
          <w:color w:val="000000"/>
          <w:sz w:val="22"/>
          <w:szCs w:val="22"/>
          <w:lang w:val="en-US"/>
        </w:rPr>
        <w:t>8</w:t>
      </w:r>
      <w:r w:rsidR="001142A5">
        <w:rPr>
          <w:color w:val="000000"/>
          <w:sz w:val="22"/>
          <w:szCs w:val="22"/>
          <w:lang w:val="en-US"/>
        </w:rPr>
        <w:t>,</w:t>
      </w:r>
      <w:r w:rsidR="00DF5584">
        <w:rPr>
          <w:color w:val="000000"/>
          <w:sz w:val="22"/>
          <w:szCs w:val="22"/>
          <w:lang w:val="en-US"/>
        </w:rPr>
        <w:t>153</w:t>
      </w:r>
      <w:r w:rsidR="001142A5">
        <w:rPr>
          <w:color w:val="000000"/>
          <w:sz w:val="22"/>
          <w:szCs w:val="22"/>
          <w:lang w:val="en-US"/>
        </w:rPr>
        <w:t xml:space="preserve"> at end Q4 201</w:t>
      </w:r>
      <w:r w:rsidR="00DF5584">
        <w:rPr>
          <w:color w:val="000000"/>
          <w:sz w:val="22"/>
          <w:szCs w:val="22"/>
          <w:lang w:val="en-US"/>
        </w:rPr>
        <w:t>7</w:t>
      </w:r>
      <w:r w:rsidR="001142A5">
        <w:rPr>
          <w:color w:val="000000"/>
          <w:sz w:val="22"/>
          <w:szCs w:val="22"/>
          <w:lang w:val="en-US"/>
        </w:rPr>
        <w:t xml:space="preserve">. </w:t>
      </w:r>
    </w:p>
    <w:p w14:paraId="1872F4CD" w14:textId="09393D1A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0D26119A" w14:textId="73E9BE66" w:rsidR="001142A5" w:rsidRPr="00FD75CC" w:rsidRDefault="00E93C78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C78">
        <w:rPr>
          <w:noProof/>
          <w:lang w:val="nl-BE" w:eastAsia="nl-BE"/>
        </w:rPr>
        <w:drawing>
          <wp:anchor distT="0" distB="0" distL="114300" distR="114300" simplePos="0" relativeHeight="251691008" behindDoc="0" locked="0" layoutInCell="1" allowOverlap="1" wp14:anchorId="7016FCCF" wp14:editId="4A7BB661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5367600" cy="6314400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00" cy="63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DEC1C" w14:textId="49E950F5" w:rsidR="001142A5" w:rsidRPr="00C04091" w:rsidRDefault="001142A5" w:rsidP="001142A5">
      <w:pPr>
        <w:rPr>
          <w:lang w:val="en-GB"/>
        </w:rPr>
      </w:pPr>
    </w:p>
    <w:p w14:paraId="61D79342" w14:textId="4E8CE63A" w:rsidR="001142A5" w:rsidRDefault="001142A5" w:rsidP="001142A5">
      <w:pPr>
        <w:pStyle w:val="Footer"/>
        <w:jc w:val="center"/>
        <w:outlineLvl w:val="0"/>
      </w:pPr>
    </w:p>
    <w:p w14:paraId="263947CF" w14:textId="5862B26F" w:rsidR="001142A5" w:rsidRDefault="001142A5" w:rsidP="001142A5">
      <w:pPr>
        <w:pStyle w:val="Footer"/>
        <w:tabs>
          <w:tab w:val="left" w:pos="4215"/>
        </w:tabs>
        <w:outlineLvl w:val="0"/>
      </w:pPr>
      <w:r>
        <w:tab/>
      </w:r>
      <w:r>
        <w:tab/>
      </w:r>
    </w:p>
    <w:p w14:paraId="7E849B33" w14:textId="7F75A5BE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91">
        <w:br w:type="page"/>
      </w:r>
      <w:r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4042ECE9" w14:textId="1737652F" w:rsidR="001142A5" w:rsidRPr="00A5108A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and Assets of Institutional AIF</w:t>
      </w:r>
      <w:r w:rsidR="00381386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62878A5F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04D455A7" w14:textId="6C76736F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A5108A">
        <w:rPr>
          <w:b/>
          <w:bCs/>
          <w:color w:val="0000FF"/>
          <w:sz w:val="22"/>
          <w:szCs w:val="22"/>
          <w:lang w:val="en-US"/>
        </w:rPr>
        <w:t>Net assets of institutional 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Pr="00A5108A">
        <w:rPr>
          <w:b/>
          <w:bCs/>
          <w:color w:val="0000FF"/>
          <w:sz w:val="22"/>
          <w:szCs w:val="22"/>
          <w:lang w:val="en-US"/>
        </w:rPr>
        <w:t>, which are 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Pr="00A5108A">
        <w:rPr>
          <w:b/>
          <w:bCs/>
          <w:color w:val="0000FF"/>
          <w:sz w:val="22"/>
          <w:szCs w:val="22"/>
          <w:lang w:val="en-US"/>
        </w:rPr>
        <w:t xml:space="preserve"> reserved for institutional investors, </w:t>
      </w:r>
      <w:r>
        <w:rPr>
          <w:b/>
          <w:bCs/>
          <w:color w:val="0000FF"/>
          <w:sz w:val="22"/>
          <w:szCs w:val="22"/>
          <w:lang w:val="en-US"/>
        </w:rPr>
        <w:t>increased</w:t>
      </w:r>
      <w:r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>
        <w:rPr>
          <w:b/>
          <w:bCs/>
          <w:color w:val="0000FF"/>
          <w:sz w:val="22"/>
          <w:szCs w:val="22"/>
          <w:lang w:val="en-US"/>
        </w:rPr>
        <w:t>2.</w:t>
      </w:r>
      <w:r w:rsidR="0024602A">
        <w:rPr>
          <w:b/>
          <w:bCs/>
          <w:color w:val="0000FF"/>
          <w:sz w:val="22"/>
          <w:szCs w:val="22"/>
          <w:lang w:val="en-US"/>
        </w:rPr>
        <w:t>0</w:t>
      </w:r>
      <w:r w:rsidRPr="00A5108A">
        <w:rPr>
          <w:b/>
          <w:bCs/>
          <w:color w:val="0000FF"/>
          <w:sz w:val="22"/>
          <w:szCs w:val="22"/>
          <w:lang w:val="en-US"/>
        </w:rPr>
        <w:t xml:space="preserve">% to EUR </w:t>
      </w:r>
      <w:r>
        <w:rPr>
          <w:b/>
          <w:bCs/>
          <w:color w:val="0000FF"/>
          <w:sz w:val="22"/>
          <w:szCs w:val="22"/>
          <w:lang w:val="en-US"/>
        </w:rPr>
        <w:t>2,</w:t>
      </w:r>
      <w:r w:rsidR="001365CE">
        <w:rPr>
          <w:b/>
          <w:bCs/>
          <w:color w:val="0000FF"/>
          <w:sz w:val="22"/>
          <w:szCs w:val="22"/>
          <w:lang w:val="en-US"/>
        </w:rPr>
        <w:t>965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A5108A">
        <w:rPr>
          <w:b/>
          <w:bCs/>
          <w:color w:val="0000FF"/>
          <w:sz w:val="22"/>
          <w:szCs w:val="22"/>
          <w:lang w:val="en-US"/>
        </w:rPr>
        <w:t>billion</w:t>
      </w:r>
      <w:r>
        <w:rPr>
          <w:b/>
          <w:bCs/>
          <w:color w:val="0000FF"/>
          <w:sz w:val="22"/>
          <w:szCs w:val="22"/>
          <w:lang w:val="en-US"/>
        </w:rPr>
        <w:t xml:space="preserve"> at end Q2 201</w:t>
      </w:r>
      <w:r w:rsidR="001365CE">
        <w:rPr>
          <w:b/>
          <w:bCs/>
          <w:color w:val="0000FF"/>
          <w:sz w:val="22"/>
          <w:szCs w:val="22"/>
          <w:lang w:val="en-US"/>
        </w:rPr>
        <w:t>8</w:t>
      </w:r>
      <w:r w:rsidRPr="00A5108A">
        <w:rPr>
          <w:b/>
          <w:bCs/>
          <w:color w:val="0000FF"/>
          <w:sz w:val="22"/>
          <w:szCs w:val="22"/>
          <w:lang w:val="en-US"/>
        </w:rPr>
        <w:t xml:space="preserve">. </w:t>
      </w:r>
    </w:p>
    <w:p w14:paraId="60E693CD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14:paraId="08C0F8CA" w14:textId="33584623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 w:rsidRPr="00A5108A">
        <w:rPr>
          <w:color w:val="000000"/>
          <w:sz w:val="22"/>
          <w:szCs w:val="22"/>
        </w:rPr>
        <w:t>Net</w:t>
      </w:r>
      <w:r w:rsidRPr="00A5108A">
        <w:rPr>
          <w:bCs/>
          <w:color w:val="000000"/>
          <w:sz w:val="22"/>
          <w:szCs w:val="22"/>
          <w:lang w:val="en-US"/>
        </w:rPr>
        <w:t xml:space="preserve"> assets </w:t>
      </w:r>
      <w:r w:rsidR="00981F44">
        <w:rPr>
          <w:bCs/>
          <w:color w:val="000000"/>
          <w:sz w:val="22"/>
          <w:szCs w:val="22"/>
          <w:lang w:val="en-US"/>
        </w:rPr>
        <w:t xml:space="preserve">of institutional </w:t>
      </w:r>
      <w:r w:rsidR="00981F44" w:rsidRPr="00981F44">
        <w:rPr>
          <w:bCs/>
          <w:color w:val="000000"/>
          <w:sz w:val="22"/>
          <w:szCs w:val="22"/>
          <w:lang w:val="en-US"/>
        </w:rPr>
        <w:t xml:space="preserve">real estate fund increased </w:t>
      </w:r>
      <w:r w:rsidR="00981F44">
        <w:rPr>
          <w:bCs/>
          <w:color w:val="000000"/>
          <w:sz w:val="22"/>
          <w:szCs w:val="22"/>
          <w:lang w:val="en-US"/>
        </w:rPr>
        <w:t xml:space="preserve">by </w:t>
      </w:r>
      <w:r w:rsidR="00981F44" w:rsidRPr="00981F44">
        <w:rPr>
          <w:bCs/>
          <w:color w:val="000000"/>
          <w:sz w:val="22"/>
          <w:szCs w:val="22"/>
          <w:lang w:val="en-US"/>
        </w:rPr>
        <w:t>5.5% to finish the quarter at EUR 203 billion</w:t>
      </w:r>
      <w:r w:rsidR="00981F44">
        <w:rPr>
          <w:bCs/>
          <w:color w:val="000000"/>
          <w:sz w:val="22"/>
          <w:szCs w:val="22"/>
          <w:lang w:val="en-US"/>
        </w:rPr>
        <w:t xml:space="preserve">. </w:t>
      </w:r>
      <w:r w:rsidR="00981F44" w:rsidRPr="00A5108A">
        <w:rPr>
          <w:bCs/>
          <w:color w:val="000000"/>
          <w:sz w:val="22"/>
          <w:szCs w:val="22"/>
          <w:lang w:val="en-US"/>
        </w:rPr>
        <w:t>Institutional</w:t>
      </w:r>
      <w:r w:rsidRPr="00A5108A">
        <w:rPr>
          <w:bCs/>
          <w:color w:val="000000"/>
          <w:sz w:val="22"/>
          <w:szCs w:val="22"/>
          <w:lang w:val="en-US"/>
        </w:rPr>
        <w:t xml:space="preserve"> equity funds </w:t>
      </w:r>
      <w:r w:rsidR="00804FC7">
        <w:rPr>
          <w:bCs/>
          <w:color w:val="000000"/>
          <w:sz w:val="22"/>
          <w:szCs w:val="22"/>
          <w:lang w:val="en-US"/>
        </w:rPr>
        <w:t xml:space="preserve">grew </w:t>
      </w:r>
      <w:r w:rsidR="001365CE">
        <w:rPr>
          <w:bCs/>
          <w:color w:val="000000"/>
          <w:sz w:val="22"/>
          <w:szCs w:val="22"/>
          <w:lang w:val="en-US"/>
        </w:rPr>
        <w:t>2.1</w:t>
      </w:r>
      <w:r>
        <w:rPr>
          <w:bCs/>
          <w:color w:val="000000"/>
          <w:sz w:val="22"/>
          <w:szCs w:val="22"/>
          <w:lang w:val="en-US"/>
        </w:rPr>
        <w:t>%</w:t>
      </w:r>
      <w:r w:rsidRPr="00A5108A">
        <w:rPr>
          <w:bCs/>
          <w:color w:val="000000"/>
          <w:sz w:val="22"/>
          <w:szCs w:val="22"/>
          <w:lang w:val="en-US"/>
        </w:rPr>
        <w:t xml:space="preserve"> to</w:t>
      </w:r>
      <w:r>
        <w:rPr>
          <w:bCs/>
          <w:color w:val="000000"/>
          <w:sz w:val="22"/>
          <w:szCs w:val="22"/>
          <w:lang w:val="en-US"/>
        </w:rPr>
        <w:t xml:space="preserve"> </w:t>
      </w:r>
      <w:r w:rsidRPr="00A5108A">
        <w:rPr>
          <w:bCs/>
          <w:color w:val="000000"/>
          <w:sz w:val="22"/>
          <w:szCs w:val="22"/>
          <w:lang w:val="en-US"/>
        </w:rPr>
        <w:t xml:space="preserve">EUR </w:t>
      </w:r>
      <w:r>
        <w:rPr>
          <w:bCs/>
          <w:color w:val="000000"/>
          <w:sz w:val="22"/>
          <w:szCs w:val="22"/>
          <w:lang w:val="en-US"/>
        </w:rPr>
        <w:t>2</w:t>
      </w:r>
      <w:r w:rsidR="001365CE">
        <w:rPr>
          <w:bCs/>
          <w:color w:val="000000"/>
          <w:sz w:val="22"/>
          <w:szCs w:val="22"/>
          <w:lang w:val="en-US"/>
        </w:rPr>
        <w:t>40</w:t>
      </w:r>
      <w:r w:rsidR="00B50254">
        <w:rPr>
          <w:bCs/>
          <w:color w:val="000000"/>
          <w:sz w:val="22"/>
          <w:szCs w:val="22"/>
          <w:lang w:val="en-US"/>
        </w:rPr>
        <w:t xml:space="preserve"> billion and </w:t>
      </w:r>
      <w:r w:rsidR="0048309E">
        <w:rPr>
          <w:bCs/>
          <w:color w:val="000000"/>
          <w:sz w:val="22"/>
          <w:szCs w:val="22"/>
          <w:lang w:val="en-US"/>
        </w:rPr>
        <w:t>i</w:t>
      </w:r>
      <w:r w:rsidRPr="00E4443A">
        <w:rPr>
          <w:bCs/>
          <w:color w:val="000000"/>
          <w:sz w:val="22"/>
          <w:szCs w:val="22"/>
          <w:lang w:val="en-US"/>
        </w:rPr>
        <w:t>nstitutional multi-asset fund</w:t>
      </w:r>
      <w:r w:rsidR="0048309E">
        <w:rPr>
          <w:bCs/>
          <w:color w:val="000000"/>
          <w:sz w:val="22"/>
          <w:szCs w:val="22"/>
          <w:lang w:val="en-US"/>
        </w:rPr>
        <w:t>s</w:t>
      </w:r>
      <w:r w:rsidRPr="00E4443A">
        <w:rPr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  <w:lang w:val="en-US"/>
        </w:rPr>
        <w:t xml:space="preserve">increased </w:t>
      </w:r>
      <w:r w:rsidRPr="00E4443A">
        <w:rPr>
          <w:bCs/>
          <w:color w:val="000000"/>
          <w:sz w:val="22"/>
          <w:szCs w:val="22"/>
          <w:lang w:val="en-US"/>
        </w:rPr>
        <w:t xml:space="preserve">by </w:t>
      </w:r>
      <w:r>
        <w:rPr>
          <w:bCs/>
          <w:color w:val="000000"/>
          <w:sz w:val="22"/>
          <w:szCs w:val="22"/>
          <w:lang w:val="en-US"/>
        </w:rPr>
        <w:t>0.</w:t>
      </w:r>
      <w:r w:rsidR="001365CE">
        <w:rPr>
          <w:bCs/>
          <w:color w:val="000000"/>
          <w:sz w:val="22"/>
          <w:szCs w:val="22"/>
          <w:lang w:val="en-US"/>
        </w:rPr>
        <w:t>8</w:t>
      </w:r>
      <w:r w:rsidRPr="00E4443A">
        <w:rPr>
          <w:bCs/>
          <w:color w:val="000000"/>
          <w:sz w:val="22"/>
          <w:szCs w:val="22"/>
          <w:lang w:val="en-US"/>
        </w:rPr>
        <w:t xml:space="preserve">% to reach EUR </w:t>
      </w:r>
      <w:r w:rsidR="001365CE">
        <w:rPr>
          <w:bCs/>
          <w:color w:val="000000"/>
          <w:sz w:val="22"/>
          <w:szCs w:val="22"/>
          <w:lang w:val="en-US"/>
        </w:rPr>
        <w:t>1,023</w:t>
      </w:r>
      <w:r>
        <w:rPr>
          <w:bCs/>
          <w:color w:val="000000"/>
          <w:sz w:val="22"/>
          <w:szCs w:val="22"/>
          <w:lang w:val="en-US"/>
        </w:rPr>
        <w:t xml:space="preserve"> </w:t>
      </w:r>
      <w:r w:rsidRPr="00E4443A">
        <w:rPr>
          <w:bCs/>
          <w:color w:val="000000"/>
          <w:sz w:val="22"/>
          <w:szCs w:val="22"/>
          <w:lang w:val="en-US"/>
        </w:rPr>
        <w:t xml:space="preserve">billion. Net assets of institutional bond funds </w:t>
      </w:r>
      <w:r w:rsidR="001365CE">
        <w:rPr>
          <w:bCs/>
          <w:color w:val="000000"/>
          <w:sz w:val="22"/>
          <w:szCs w:val="22"/>
          <w:lang w:val="en-US"/>
        </w:rPr>
        <w:t>increased 0.6% to</w:t>
      </w:r>
      <w:r>
        <w:rPr>
          <w:bCs/>
          <w:color w:val="000000"/>
          <w:sz w:val="22"/>
          <w:szCs w:val="22"/>
          <w:lang w:val="en-US"/>
        </w:rPr>
        <w:t xml:space="preserve"> </w:t>
      </w:r>
      <w:r w:rsidRPr="00E4443A">
        <w:rPr>
          <w:bCs/>
          <w:color w:val="000000"/>
          <w:sz w:val="22"/>
          <w:szCs w:val="22"/>
          <w:lang w:val="en-US"/>
        </w:rPr>
        <w:t>EUR 5</w:t>
      </w:r>
      <w:r>
        <w:rPr>
          <w:bCs/>
          <w:color w:val="000000"/>
          <w:sz w:val="22"/>
          <w:szCs w:val="22"/>
          <w:lang w:val="en-US"/>
        </w:rPr>
        <w:t>7</w:t>
      </w:r>
      <w:r w:rsidR="001365CE">
        <w:rPr>
          <w:bCs/>
          <w:color w:val="000000"/>
          <w:sz w:val="22"/>
          <w:szCs w:val="22"/>
          <w:lang w:val="en-US"/>
        </w:rPr>
        <w:t>1</w:t>
      </w:r>
      <w:r w:rsidR="00B50254">
        <w:rPr>
          <w:bCs/>
          <w:color w:val="000000"/>
          <w:sz w:val="22"/>
          <w:szCs w:val="22"/>
          <w:lang w:val="en-US"/>
        </w:rPr>
        <w:t xml:space="preserve"> billion. </w:t>
      </w:r>
      <w:r w:rsidR="001365CE">
        <w:rPr>
          <w:color w:val="000000"/>
          <w:sz w:val="22"/>
          <w:szCs w:val="22"/>
        </w:rPr>
        <w:t xml:space="preserve">Money market funds </w:t>
      </w:r>
      <w:r w:rsidRPr="00E4443A">
        <w:rPr>
          <w:color w:val="000000"/>
          <w:sz w:val="22"/>
          <w:szCs w:val="22"/>
        </w:rPr>
        <w:t xml:space="preserve">experienced </w:t>
      </w:r>
      <w:r w:rsidR="00B50254">
        <w:rPr>
          <w:color w:val="000000"/>
          <w:sz w:val="22"/>
          <w:szCs w:val="22"/>
        </w:rPr>
        <w:t xml:space="preserve">a </w:t>
      </w:r>
      <w:r w:rsidR="001365CE">
        <w:rPr>
          <w:color w:val="000000"/>
          <w:sz w:val="22"/>
          <w:szCs w:val="22"/>
        </w:rPr>
        <w:t xml:space="preserve">decrease </w:t>
      </w:r>
      <w:r w:rsidRPr="00E4443A">
        <w:rPr>
          <w:color w:val="000000"/>
          <w:sz w:val="22"/>
          <w:szCs w:val="22"/>
        </w:rPr>
        <w:t xml:space="preserve">of </w:t>
      </w:r>
      <w:r w:rsidR="001365CE">
        <w:rPr>
          <w:color w:val="000000"/>
          <w:sz w:val="22"/>
          <w:szCs w:val="22"/>
        </w:rPr>
        <w:t>0.6</w:t>
      </w:r>
      <w:r w:rsidRPr="00E4443A">
        <w:rPr>
          <w:color w:val="000000"/>
          <w:sz w:val="22"/>
          <w:szCs w:val="22"/>
        </w:rPr>
        <w:t xml:space="preserve">% </w:t>
      </w:r>
      <w:r>
        <w:rPr>
          <w:color w:val="000000"/>
          <w:sz w:val="22"/>
          <w:szCs w:val="22"/>
        </w:rPr>
        <w:t>to reach</w:t>
      </w:r>
      <w:r w:rsidRPr="00E4443A">
        <w:rPr>
          <w:color w:val="000000"/>
          <w:sz w:val="22"/>
          <w:szCs w:val="22"/>
        </w:rPr>
        <w:t xml:space="preserve"> EUR </w:t>
      </w:r>
      <w:r w:rsidR="001365CE">
        <w:rPr>
          <w:color w:val="000000"/>
          <w:sz w:val="22"/>
          <w:szCs w:val="22"/>
        </w:rPr>
        <w:t>10</w:t>
      </w:r>
      <w:r w:rsidRPr="00E4443A">
        <w:rPr>
          <w:color w:val="000000"/>
          <w:sz w:val="22"/>
          <w:szCs w:val="22"/>
        </w:rPr>
        <w:t xml:space="preserve"> billion at end </w:t>
      </w:r>
      <w:r>
        <w:rPr>
          <w:color w:val="000000"/>
          <w:sz w:val="22"/>
          <w:szCs w:val="22"/>
        </w:rPr>
        <w:t>Q2 201</w:t>
      </w:r>
      <w:r w:rsidR="001365CE">
        <w:rPr>
          <w:color w:val="000000"/>
          <w:sz w:val="22"/>
          <w:szCs w:val="22"/>
        </w:rPr>
        <w:t>8</w:t>
      </w:r>
      <w:r w:rsidRPr="00A5108A">
        <w:rPr>
          <w:color w:val="000000"/>
          <w:sz w:val="22"/>
          <w:szCs w:val="22"/>
        </w:rPr>
        <w:t xml:space="preserve">. </w:t>
      </w:r>
    </w:p>
    <w:p w14:paraId="6E1524A3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14:paraId="3C2B7774" w14:textId="4331794A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A5108A">
        <w:rPr>
          <w:color w:val="000000"/>
          <w:sz w:val="22"/>
          <w:szCs w:val="22"/>
          <w:lang w:val="en-US"/>
        </w:rPr>
        <w:t>Institutional AIF</w:t>
      </w:r>
      <w:r w:rsidR="00381386">
        <w:rPr>
          <w:color w:val="000000"/>
          <w:sz w:val="22"/>
          <w:szCs w:val="22"/>
          <w:lang w:val="en-US"/>
        </w:rPr>
        <w:t>s</w:t>
      </w:r>
      <w:r w:rsidRPr="00A5108A">
        <w:rPr>
          <w:color w:val="000000"/>
          <w:sz w:val="22"/>
          <w:szCs w:val="22"/>
          <w:lang w:val="en-US"/>
        </w:rPr>
        <w:t xml:space="preserve"> r</w:t>
      </w:r>
      <w:r>
        <w:rPr>
          <w:color w:val="000000"/>
          <w:sz w:val="22"/>
          <w:szCs w:val="22"/>
          <w:lang w:val="en-US"/>
        </w:rPr>
        <w:t>ecorded</w:t>
      </w:r>
      <w:r w:rsidRPr="00A5108A">
        <w:rPr>
          <w:color w:val="000000"/>
          <w:sz w:val="22"/>
          <w:szCs w:val="22"/>
          <w:lang w:val="en-US"/>
        </w:rPr>
        <w:t xml:space="preserve"> net sales of EUR </w:t>
      </w:r>
      <w:r w:rsidR="001365CE">
        <w:rPr>
          <w:color w:val="000000"/>
          <w:sz w:val="22"/>
          <w:szCs w:val="22"/>
          <w:lang w:val="en-US"/>
        </w:rPr>
        <w:t>29</w:t>
      </w:r>
      <w:r>
        <w:rPr>
          <w:color w:val="000000"/>
          <w:sz w:val="22"/>
          <w:szCs w:val="22"/>
          <w:lang w:val="en-US"/>
        </w:rPr>
        <w:t xml:space="preserve"> billion in Q2 201</w:t>
      </w:r>
      <w:r w:rsidR="001365CE">
        <w:rPr>
          <w:color w:val="000000"/>
          <w:sz w:val="22"/>
          <w:szCs w:val="22"/>
          <w:lang w:val="en-US"/>
        </w:rPr>
        <w:t>8</w:t>
      </w:r>
      <w:r>
        <w:rPr>
          <w:color w:val="000000"/>
          <w:sz w:val="22"/>
          <w:szCs w:val="22"/>
          <w:lang w:val="en-US"/>
        </w:rPr>
        <w:t xml:space="preserve">, </w:t>
      </w:r>
      <w:r w:rsidR="001365CE">
        <w:rPr>
          <w:color w:val="000000"/>
          <w:sz w:val="22"/>
          <w:szCs w:val="22"/>
          <w:lang w:val="en-US"/>
        </w:rPr>
        <w:t>low</w:t>
      </w:r>
      <w:r>
        <w:rPr>
          <w:color w:val="000000"/>
          <w:sz w:val="22"/>
          <w:szCs w:val="22"/>
          <w:lang w:val="en-US"/>
        </w:rPr>
        <w:t>er than both Q1 201</w:t>
      </w:r>
      <w:r w:rsidR="001365CE">
        <w:rPr>
          <w:color w:val="000000"/>
          <w:sz w:val="22"/>
          <w:szCs w:val="22"/>
          <w:lang w:val="en-US"/>
        </w:rPr>
        <w:t>8</w:t>
      </w:r>
      <w:r>
        <w:rPr>
          <w:color w:val="000000"/>
          <w:sz w:val="22"/>
          <w:szCs w:val="22"/>
          <w:lang w:val="en-US"/>
        </w:rPr>
        <w:t xml:space="preserve"> (EUR </w:t>
      </w:r>
      <w:r w:rsidR="001365CE">
        <w:rPr>
          <w:color w:val="000000"/>
          <w:sz w:val="22"/>
          <w:szCs w:val="22"/>
          <w:lang w:val="en-US"/>
        </w:rPr>
        <w:t>5</w:t>
      </w:r>
      <w:r>
        <w:rPr>
          <w:color w:val="000000"/>
          <w:sz w:val="22"/>
          <w:szCs w:val="22"/>
          <w:lang w:val="en-US"/>
        </w:rPr>
        <w:t>8 billion) and Q</w:t>
      </w:r>
      <w:r w:rsidR="00D531B5">
        <w:rPr>
          <w:color w:val="000000"/>
          <w:sz w:val="22"/>
          <w:szCs w:val="22"/>
          <w:lang w:val="en-US"/>
        </w:rPr>
        <w:t xml:space="preserve">4 </w:t>
      </w:r>
      <w:r>
        <w:rPr>
          <w:color w:val="000000"/>
          <w:sz w:val="22"/>
          <w:szCs w:val="22"/>
          <w:lang w:val="en-US"/>
        </w:rPr>
        <w:t>201</w:t>
      </w:r>
      <w:r w:rsidR="001365CE">
        <w:rPr>
          <w:color w:val="000000"/>
          <w:sz w:val="22"/>
          <w:szCs w:val="22"/>
          <w:lang w:val="en-US"/>
        </w:rPr>
        <w:t>7</w:t>
      </w:r>
      <w:r>
        <w:rPr>
          <w:color w:val="000000"/>
          <w:sz w:val="22"/>
          <w:szCs w:val="22"/>
          <w:lang w:val="en-US"/>
        </w:rPr>
        <w:t xml:space="preserve"> (EUR </w:t>
      </w:r>
      <w:r w:rsidR="001365CE">
        <w:rPr>
          <w:color w:val="000000"/>
          <w:sz w:val="22"/>
          <w:szCs w:val="22"/>
          <w:lang w:val="en-US"/>
        </w:rPr>
        <w:t>39</w:t>
      </w:r>
      <w:r>
        <w:rPr>
          <w:color w:val="000000"/>
          <w:sz w:val="22"/>
          <w:szCs w:val="22"/>
          <w:lang w:val="en-US"/>
        </w:rPr>
        <w:t xml:space="preserve"> billion).</w:t>
      </w:r>
    </w:p>
    <w:p w14:paraId="6A9268E4" w14:textId="77777777" w:rsidR="001142A5" w:rsidRPr="00C532F3" w:rsidRDefault="001142A5" w:rsidP="001142A5">
      <w:pPr>
        <w:pStyle w:val="Footer"/>
        <w:jc w:val="center"/>
        <w:rPr>
          <w:lang w:val="en-US"/>
        </w:rPr>
      </w:pPr>
    </w:p>
    <w:p w14:paraId="0DCEE52C" w14:textId="77777777" w:rsidR="001142A5" w:rsidRDefault="001142A5" w:rsidP="001142A5">
      <w:pPr>
        <w:pStyle w:val="Footer"/>
        <w:jc w:val="center"/>
      </w:pPr>
    </w:p>
    <w:p w14:paraId="553A8381" w14:textId="07107937" w:rsidR="001142A5" w:rsidRDefault="001142A5" w:rsidP="001142A5">
      <w:pPr>
        <w:pStyle w:val="Footer"/>
        <w:jc w:val="center"/>
      </w:pPr>
    </w:p>
    <w:p w14:paraId="40D3C062" w14:textId="3A5714C2" w:rsidR="001142A5" w:rsidRDefault="00E93C78" w:rsidP="001142A5">
      <w:pPr>
        <w:pStyle w:val="Footer"/>
        <w:jc w:val="center"/>
      </w:pPr>
      <w:r w:rsidRPr="00E93C78">
        <w:rPr>
          <w:noProof/>
          <w:lang w:val="nl-BE" w:eastAsia="nl-BE"/>
        </w:rPr>
        <w:drawing>
          <wp:anchor distT="0" distB="0" distL="114300" distR="114300" simplePos="0" relativeHeight="251692032" behindDoc="0" locked="0" layoutInCell="1" allowOverlap="1" wp14:anchorId="0685F012" wp14:editId="4D4D5895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360035" cy="5579745"/>
            <wp:effectExtent l="0" t="0" r="0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453F" w14:textId="20A02278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54CF8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F679B9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5BA86773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66959E49" w14:textId="77777777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14E64BDC" w14:textId="55A16113" w:rsidR="001142A5" w:rsidRPr="00EA222B" w:rsidRDefault="00271D49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Net</w:t>
      </w:r>
      <w:r w:rsidR="001142A5" w:rsidRPr="00EA222B">
        <w:rPr>
          <w:b/>
          <w:bCs/>
          <w:color w:val="0000FF"/>
          <w:sz w:val="22"/>
          <w:szCs w:val="22"/>
          <w:lang w:val="en-US"/>
        </w:rPr>
        <w:t xml:space="preserve"> assets of </w:t>
      </w:r>
      <w:r w:rsidR="001142A5"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1142A5">
        <w:rPr>
          <w:b/>
          <w:bCs/>
          <w:color w:val="0000FF"/>
          <w:sz w:val="22"/>
          <w:szCs w:val="22"/>
          <w:lang w:val="en-US"/>
        </w:rPr>
        <w:t xml:space="preserve"> increased</w:t>
      </w:r>
      <w:r w:rsidR="001142A5"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  <w:r w:rsidR="00881F5B">
        <w:rPr>
          <w:b/>
          <w:bCs/>
          <w:color w:val="0000FF"/>
          <w:sz w:val="22"/>
          <w:szCs w:val="22"/>
          <w:lang w:val="en-US"/>
        </w:rPr>
        <w:t>1</w:t>
      </w:r>
      <w:r w:rsidR="00DE1F55">
        <w:rPr>
          <w:b/>
          <w:bCs/>
          <w:color w:val="0000FF"/>
          <w:sz w:val="22"/>
          <w:szCs w:val="22"/>
          <w:lang w:val="en-US"/>
        </w:rPr>
        <w:t xml:space="preserve">.6% compared to </w:t>
      </w:r>
      <w:r>
        <w:rPr>
          <w:b/>
          <w:bCs/>
          <w:color w:val="0000FF"/>
          <w:sz w:val="22"/>
          <w:szCs w:val="22"/>
          <w:lang w:val="en-US"/>
        </w:rPr>
        <w:t xml:space="preserve">end </w:t>
      </w:r>
      <w:r w:rsidR="00DE1F55">
        <w:rPr>
          <w:b/>
          <w:bCs/>
          <w:color w:val="0000FF"/>
          <w:sz w:val="22"/>
          <w:szCs w:val="22"/>
          <w:lang w:val="en-US"/>
        </w:rPr>
        <w:t>Q1 201</w:t>
      </w:r>
      <w:r w:rsidR="00881F5B">
        <w:rPr>
          <w:b/>
          <w:bCs/>
          <w:color w:val="0000FF"/>
          <w:sz w:val="22"/>
          <w:szCs w:val="22"/>
          <w:lang w:val="en-US"/>
        </w:rPr>
        <w:t>8</w:t>
      </w:r>
      <w:r w:rsidR="00DE1F55">
        <w:rPr>
          <w:b/>
          <w:bCs/>
          <w:color w:val="0000FF"/>
          <w:sz w:val="22"/>
          <w:szCs w:val="22"/>
          <w:lang w:val="en-US"/>
        </w:rPr>
        <w:t xml:space="preserve"> and</w:t>
      </w:r>
      <w:r w:rsidR="00B37B38">
        <w:rPr>
          <w:b/>
          <w:bCs/>
          <w:color w:val="0000FF"/>
          <w:sz w:val="22"/>
          <w:szCs w:val="22"/>
          <w:lang w:val="en-US"/>
        </w:rPr>
        <w:t xml:space="preserve"> </w:t>
      </w:r>
      <w:r w:rsidR="00BF6617">
        <w:rPr>
          <w:b/>
          <w:bCs/>
          <w:color w:val="0000FF"/>
          <w:sz w:val="22"/>
          <w:szCs w:val="22"/>
          <w:lang w:val="en-US"/>
        </w:rPr>
        <w:t>1.2</w:t>
      </w:r>
      <w:r w:rsidR="00B37B38">
        <w:rPr>
          <w:b/>
          <w:bCs/>
          <w:color w:val="0000FF"/>
          <w:sz w:val="22"/>
          <w:szCs w:val="22"/>
          <w:lang w:val="en-US"/>
        </w:rPr>
        <w:t>%</w:t>
      </w:r>
      <w:r w:rsidR="001142A5">
        <w:rPr>
          <w:b/>
          <w:bCs/>
          <w:color w:val="0000FF"/>
          <w:sz w:val="22"/>
          <w:szCs w:val="22"/>
          <w:lang w:val="en-US"/>
        </w:rPr>
        <w:t xml:space="preserve"> compared to end 201</w:t>
      </w:r>
      <w:r w:rsidR="00881F5B">
        <w:rPr>
          <w:b/>
          <w:bCs/>
          <w:color w:val="0000FF"/>
          <w:sz w:val="22"/>
          <w:szCs w:val="22"/>
          <w:lang w:val="en-US"/>
        </w:rPr>
        <w:t>7</w:t>
      </w:r>
      <w:r w:rsidR="001142A5">
        <w:rPr>
          <w:b/>
          <w:bCs/>
          <w:color w:val="0000FF"/>
          <w:sz w:val="22"/>
          <w:szCs w:val="22"/>
          <w:lang w:val="en-US"/>
        </w:rPr>
        <w:t>.</w:t>
      </w:r>
    </w:p>
    <w:p w14:paraId="61F8FBA1" w14:textId="77777777" w:rsidR="001142A5" w:rsidRDefault="001142A5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14:paraId="2DBFD4A7" w14:textId="77777777" w:rsidR="00B50254" w:rsidRDefault="00DE1F55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Of the large</w:t>
      </w:r>
      <w:r w:rsidR="00981F44">
        <w:rPr>
          <w:bCs/>
          <w:color w:val="000000"/>
          <w:sz w:val="22"/>
          <w:szCs w:val="22"/>
        </w:rPr>
        <w:t>r</w:t>
      </w:r>
      <w:r>
        <w:rPr>
          <w:bCs/>
          <w:color w:val="000000"/>
          <w:sz w:val="22"/>
          <w:szCs w:val="22"/>
        </w:rPr>
        <w:t xml:space="preserve"> AIF domiciles, t</w:t>
      </w:r>
      <w:r w:rsidR="005E745F">
        <w:rPr>
          <w:bCs/>
          <w:color w:val="000000"/>
          <w:sz w:val="22"/>
          <w:szCs w:val="22"/>
        </w:rPr>
        <w:t>he</w:t>
      </w:r>
      <w:r w:rsidR="001142A5">
        <w:rPr>
          <w:bCs/>
          <w:color w:val="000000"/>
          <w:sz w:val="22"/>
          <w:szCs w:val="22"/>
        </w:rPr>
        <w:t xml:space="preserve"> largest</w:t>
      </w:r>
      <w:r>
        <w:rPr>
          <w:bCs/>
          <w:color w:val="000000"/>
          <w:sz w:val="22"/>
          <w:szCs w:val="22"/>
        </w:rPr>
        <w:t xml:space="preserve"> net asset</w:t>
      </w:r>
      <w:r w:rsidR="001142A5">
        <w:rPr>
          <w:bCs/>
          <w:color w:val="000000"/>
          <w:sz w:val="22"/>
          <w:szCs w:val="22"/>
        </w:rPr>
        <w:t xml:space="preserve"> growth</w:t>
      </w:r>
      <w:r>
        <w:rPr>
          <w:bCs/>
          <w:color w:val="000000"/>
          <w:sz w:val="22"/>
          <w:szCs w:val="22"/>
        </w:rPr>
        <w:t xml:space="preserve"> was seen</w:t>
      </w:r>
      <w:r w:rsidR="001142A5">
        <w:rPr>
          <w:bCs/>
          <w:color w:val="000000"/>
          <w:sz w:val="22"/>
          <w:szCs w:val="22"/>
        </w:rPr>
        <w:t xml:space="preserve"> in </w:t>
      </w:r>
      <w:r w:rsidR="00881F5B">
        <w:rPr>
          <w:bCs/>
          <w:color w:val="000000"/>
          <w:sz w:val="22"/>
          <w:szCs w:val="22"/>
        </w:rPr>
        <w:t>Ireland</w:t>
      </w:r>
      <w:r w:rsidR="001142A5">
        <w:rPr>
          <w:bCs/>
          <w:color w:val="000000"/>
          <w:sz w:val="22"/>
          <w:szCs w:val="22"/>
        </w:rPr>
        <w:t xml:space="preserve"> (</w:t>
      </w:r>
      <w:r w:rsidR="00881F5B">
        <w:rPr>
          <w:bCs/>
          <w:color w:val="000000"/>
          <w:sz w:val="22"/>
          <w:szCs w:val="22"/>
        </w:rPr>
        <w:t>3.1</w:t>
      </w:r>
      <w:r w:rsidR="001142A5">
        <w:rPr>
          <w:bCs/>
          <w:color w:val="000000"/>
          <w:sz w:val="22"/>
          <w:szCs w:val="22"/>
        </w:rPr>
        <w:t>%)</w:t>
      </w:r>
      <w:r w:rsidR="005E745F">
        <w:rPr>
          <w:bCs/>
          <w:color w:val="000000"/>
          <w:sz w:val="22"/>
          <w:szCs w:val="22"/>
        </w:rPr>
        <w:t>,</w:t>
      </w:r>
      <w:r w:rsidR="001142A5">
        <w:rPr>
          <w:bCs/>
          <w:color w:val="000000"/>
          <w:sz w:val="22"/>
          <w:szCs w:val="22"/>
        </w:rPr>
        <w:t xml:space="preserve"> followed by Luxembourg (</w:t>
      </w:r>
      <w:r w:rsidR="00881F5B">
        <w:rPr>
          <w:bCs/>
          <w:color w:val="000000"/>
          <w:sz w:val="22"/>
          <w:szCs w:val="22"/>
        </w:rPr>
        <w:t>2.9</w:t>
      </w:r>
      <w:r w:rsidR="00981F44">
        <w:rPr>
          <w:bCs/>
          <w:color w:val="000000"/>
          <w:sz w:val="22"/>
          <w:szCs w:val="22"/>
        </w:rPr>
        <w:t>%) and</w:t>
      </w:r>
      <w:r w:rsidR="001142A5">
        <w:rPr>
          <w:bCs/>
          <w:color w:val="000000"/>
          <w:sz w:val="22"/>
          <w:szCs w:val="22"/>
        </w:rPr>
        <w:t xml:space="preserve"> the </w:t>
      </w:r>
      <w:r w:rsidR="00881F5B">
        <w:rPr>
          <w:bCs/>
          <w:color w:val="000000"/>
          <w:sz w:val="22"/>
          <w:szCs w:val="22"/>
        </w:rPr>
        <w:t>Netherlands (2</w:t>
      </w:r>
      <w:r w:rsidR="00981F44">
        <w:rPr>
          <w:bCs/>
          <w:color w:val="000000"/>
          <w:sz w:val="22"/>
          <w:szCs w:val="22"/>
        </w:rPr>
        <w:t xml:space="preserve">.8%). </w:t>
      </w:r>
    </w:p>
    <w:p w14:paraId="4CE8508C" w14:textId="77777777" w:rsidR="00B50254" w:rsidRDefault="00B50254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7DA3EFC" w14:textId="2B16082B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Elsewhere in Europe, net assets grew strongly in </w:t>
      </w:r>
      <w:r w:rsidR="00B10FF5">
        <w:rPr>
          <w:bCs/>
          <w:color w:val="000000"/>
          <w:sz w:val="22"/>
          <w:szCs w:val="22"/>
        </w:rPr>
        <w:t xml:space="preserve">Croatia (10.9%), Cyprus (10.1%), </w:t>
      </w:r>
      <w:r w:rsidR="00B10FF5" w:rsidRPr="00B10FF5">
        <w:rPr>
          <w:bCs/>
          <w:color w:val="000000"/>
          <w:sz w:val="22"/>
          <w:szCs w:val="22"/>
        </w:rPr>
        <w:t>Liechtenstein</w:t>
      </w:r>
      <w:r w:rsidR="00B10FF5">
        <w:rPr>
          <w:bCs/>
          <w:color w:val="000000"/>
          <w:sz w:val="22"/>
          <w:szCs w:val="22"/>
        </w:rPr>
        <w:t xml:space="preserve"> (5.5%)</w:t>
      </w:r>
      <w:r w:rsidR="00381386">
        <w:rPr>
          <w:bCs/>
          <w:color w:val="000000"/>
          <w:sz w:val="22"/>
          <w:szCs w:val="22"/>
        </w:rPr>
        <w:t>,</w:t>
      </w:r>
      <w:r w:rsidR="00271D4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the Czech</w:t>
      </w:r>
      <w:r w:rsidR="00B10FF5">
        <w:rPr>
          <w:bCs/>
          <w:color w:val="000000"/>
          <w:sz w:val="22"/>
          <w:szCs w:val="22"/>
        </w:rPr>
        <w:t xml:space="preserve"> Republic (4.6%)</w:t>
      </w:r>
      <w:r w:rsidR="00381386">
        <w:rPr>
          <w:bCs/>
          <w:color w:val="000000"/>
          <w:sz w:val="22"/>
          <w:szCs w:val="22"/>
        </w:rPr>
        <w:t xml:space="preserve"> and Malta (4.5%)</w:t>
      </w:r>
      <w:r w:rsidR="00B10FF5">
        <w:rPr>
          <w:bCs/>
          <w:color w:val="000000"/>
          <w:sz w:val="22"/>
          <w:szCs w:val="22"/>
        </w:rPr>
        <w:t>.</w:t>
      </w:r>
    </w:p>
    <w:p w14:paraId="7AAF07CF" w14:textId="77777777" w:rsidR="001142A5" w:rsidRPr="00BB2572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7CB8E3B" w14:textId="3972B9A2" w:rsidR="001142A5" w:rsidRPr="00B50254" w:rsidRDefault="001142A5" w:rsidP="00B50254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471C34FD" w14:textId="03BEA884" w:rsidR="001142A5" w:rsidRPr="00FD75CC" w:rsidRDefault="00E93C78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C78">
        <w:rPr>
          <w:noProof/>
          <w:lang w:val="nl-BE" w:eastAsia="nl-BE"/>
        </w:rPr>
        <w:drawing>
          <wp:anchor distT="0" distB="0" distL="114300" distR="114300" simplePos="0" relativeHeight="251693056" behindDoc="0" locked="0" layoutInCell="1" allowOverlap="1" wp14:anchorId="52C67430" wp14:editId="618E2171">
            <wp:simplePos x="0" y="0"/>
            <wp:positionH relativeFrom="margin">
              <wp:align>center</wp:align>
            </wp:positionH>
            <wp:positionV relativeFrom="page">
              <wp:posOffset>2886075</wp:posOffset>
            </wp:positionV>
            <wp:extent cx="5824800" cy="6012000"/>
            <wp:effectExtent l="0" t="0" r="5080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00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9B9A9" w14:textId="47C5A102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C44382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5EDE7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8A62CF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CFD93A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1715B86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374FCEE9" w14:textId="633EF5F8" w:rsidR="00B37B38" w:rsidRPr="00B37B38" w:rsidRDefault="001142A5" w:rsidP="00B37B38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UCITS and AIF</w:t>
      </w:r>
      <w:r w:rsidR="00381386">
        <w:rPr>
          <w:b/>
          <w:color w:val="0000FF"/>
          <w:sz w:val="22"/>
          <w:szCs w:val="22"/>
        </w:rPr>
        <w:t>s</w:t>
      </w:r>
      <w:r w:rsidR="00B37B38">
        <w:rPr>
          <w:b/>
          <w:color w:val="0000FF"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val="en-US"/>
        </w:rPr>
        <w:t xml:space="preserve">recorded net </w:t>
      </w:r>
      <w:r w:rsidR="00B37B38">
        <w:rPr>
          <w:b/>
          <w:bCs/>
          <w:color w:val="0000FF"/>
          <w:sz w:val="22"/>
          <w:szCs w:val="22"/>
          <w:lang w:val="en-US"/>
        </w:rPr>
        <w:t>sales</w:t>
      </w:r>
      <w:r>
        <w:rPr>
          <w:b/>
          <w:bCs/>
          <w:color w:val="0000FF"/>
          <w:sz w:val="22"/>
          <w:szCs w:val="22"/>
          <w:lang w:val="en-US"/>
        </w:rPr>
        <w:t xml:space="preserve"> of EUR 2</w:t>
      </w:r>
      <w:r w:rsidR="0023595B">
        <w:rPr>
          <w:b/>
          <w:bCs/>
          <w:color w:val="0000FF"/>
          <w:sz w:val="22"/>
          <w:szCs w:val="22"/>
          <w:lang w:val="en-US"/>
        </w:rPr>
        <w:t>8</w:t>
      </w:r>
      <w:r>
        <w:rPr>
          <w:b/>
          <w:bCs/>
          <w:color w:val="0000FF"/>
          <w:sz w:val="22"/>
          <w:szCs w:val="22"/>
          <w:lang w:val="en-US"/>
        </w:rPr>
        <w:t xml:space="preserve"> billion during Q2 201</w:t>
      </w:r>
      <w:r w:rsidR="0023595B">
        <w:rPr>
          <w:b/>
          <w:bCs/>
          <w:color w:val="0000FF"/>
          <w:sz w:val="22"/>
          <w:szCs w:val="22"/>
          <w:lang w:val="en-US"/>
        </w:rPr>
        <w:t>8</w:t>
      </w:r>
      <w:r>
        <w:rPr>
          <w:b/>
          <w:bCs/>
          <w:color w:val="0000FF"/>
          <w:sz w:val="22"/>
          <w:szCs w:val="22"/>
          <w:lang w:val="en-US"/>
        </w:rPr>
        <w:t>, compared to EUR 2</w:t>
      </w:r>
      <w:r w:rsidR="0023595B">
        <w:rPr>
          <w:b/>
          <w:bCs/>
          <w:color w:val="0000FF"/>
          <w:sz w:val="22"/>
          <w:szCs w:val="22"/>
          <w:lang w:val="en-US"/>
        </w:rPr>
        <w:t>22</w:t>
      </w:r>
      <w:r>
        <w:rPr>
          <w:b/>
          <w:bCs/>
          <w:color w:val="0000FF"/>
          <w:sz w:val="22"/>
          <w:szCs w:val="22"/>
          <w:lang w:val="en-US"/>
        </w:rPr>
        <w:t xml:space="preserve"> billion in Q1.</w:t>
      </w:r>
      <w:r w:rsidR="00B37B38">
        <w:rPr>
          <w:b/>
          <w:bCs/>
          <w:color w:val="0000FF"/>
          <w:sz w:val="22"/>
          <w:szCs w:val="22"/>
          <w:lang w:val="en-US"/>
        </w:rPr>
        <w:t xml:space="preserve"> </w:t>
      </w:r>
      <w:r w:rsidR="00981F44">
        <w:rPr>
          <w:b/>
          <w:color w:val="0000FF"/>
          <w:sz w:val="22"/>
          <w:szCs w:val="22"/>
        </w:rPr>
        <w:t>During the first half of 2018</w:t>
      </w:r>
      <w:r w:rsidR="00B37B38" w:rsidRPr="00B37B38">
        <w:rPr>
          <w:b/>
          <w:color w:val="0000FF"/>
          <w:sz w:val="22"/>
          <w:szCs w:val="22"/>
        </w:rPr>
        <w:t xml:space="preserve">, European investment funds attracted net sales of EUR </w:t>
      </w:r>
      <w:r w:rsidR="0023595B">
        <w:rPr>
          <w:b/>
          <w:color w:val="0000FF"/>
          <w:sz w:val="22"/>
          <w:szCs w:val="22"/>
        </w:rPr>
        <w:t>250</w:t>
      </w:r>
      <w:r w:rsidR="00B37B38" w:rsidRPr="00B37B38">
        <w:rPr>
          <w:b/>
          <w:color w:val="0000FF"/>
          <w:sz w:val="22"/>
          <w:szCs w:val="22"/>
        </w:rPr>
        <w:t xml:space="preserve"> billion. </w:t>
      </w:r>
    </w:p>
    <w:p w14:paraId="0BC1A0C8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1E41CDDC" w14:textId="5AE9214F" w:rsidR="001142A5" w:rsidRDefault="00AF3844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="001142A5" w:rsidRPr="00A7353F">
        <w:rPr>
          <w:bCs/>
          <w:color w:val="000000"/>
          <w:sz w:val="22"/>
          <w:szCs w:val="22"/>
        </w:rPr>
        <w:t xml:space="preserve">quity funds </w:t>
      </w:r>
      <w:r w:rsidR="0023595B">
        <w:rPr>
          <w:bCs/>
          <w:color w:val="000000"/>
          <w:sz w:val="22"/>
          <w:szCs w:val="22"/>
        </w:rPr>
        <w:t xml:space="preserve">registered net outflows of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23595B">
        <w:rPr>
          <w:bCs/>
          <w:color w:val="000000"/>
          <w:sz w:val="22"/>
          <w:szCs w:val="22"/>
        </w:rPr>
        <w:t>0.3</w:t>
      </w:r>
      <w:r w:rsidR="001142A5">
        <w:rPr>
          <w:bCs/>
          <w:color w:val="000000"/>
          <w:sz w:val="22"/>
          <w:szCs w:val="22"/>
        </w:rPr>
        <w:t xml:space="preserve"> billion in Q2 201</w:t>
      </w:r>
      <w:r w:rsidR="0023595B">
        <w:rPr>
          <w:bCs/>
          <w:color w:val="000000"/>
          <w:sz w:val="22"/>
          <w:szCs w:val="22"/>
        </w:rPr>
        <w:t>8</w:t>
      </w:r>
      <w:r w:rsidR="00B50254">
        <w:rPr>
          <w:bCs/>
          <w:color w:val="000000"/>
          <w:sz w:val="22"/>
          <w:szCs w:val="22"/>
        </w:rPr>
        <w:t>,</w:t>
      </w:r>
      <w:r w:rsidR="001142A5">
        <w:rPr>
          <w:bCs/>
          <w:color w:val="000000"/>
          <w:sz w:val="22"/>
          <w:szCs w:val="22"/>
        </w:rPr>
        <w:t xml:space="preserve"> compared to </w:t>
      </w:r>
      <w:r w:rsidR="00981F44">
        <w:rPr>
          <w:bCs/>
          <w:color w:val="000000"/>
          <w:sz w:val="22"/>
          <w:szCs w:val="22"/>
        </w:rPr>
        <w:t xml:space="preserve">net inflows of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23595B">
        <w:rPr>
          <w:bCs/>
          <w:color w:val="000000"/>
          <w:sz w:val="22"/>
          <w:szCs w:val="22"/>
        </w:rPr>
        <w:t>84</w:t>
      </w:r>
      <w:r w:rsidR="001142A5">
        <w:rPr>
          <w:bCs/>
          <w:color w:val="000000"/>
          <w:sz w:val="22"/>
          <w:szCs w:val="22"/>
        </w:rPr>
        <w:t xml:space="preserve"> billion in</w:t>
      </w:r>
      <w:r w:rsidR="005E745F">
        <w:rPr>
          <w:bCs/>
          <w:color w:val="000000"/>
          <w:sz w:val="22"/>
          <w:szCs w:val="22"/>
        </w:rPr>
        <w:t xml:space="preserve"> the previous quarter. </w:t>
      </w:r>
      <w:r w:rsidR="00B50254">
        <w:rPr>
          <w:bCs/>
          <w:color w:val="000000"/>
          <w:sz w:val="22"/>
          <w:szCs w:val="22"/>
        </w:rPr>
        <w:t>B</w:t>
      </w:r>
      <w:r w:rsidR="001142A5" w:rsidRPr="00A7353F">
        <w:rPr>
          <w:bCs/>
          <w:color w:val="000000"/>
          <w:sz w:val="22"/>
          <w:szCs w:val="22"/>
        </w:rPr>
        <w:t xml:space="preserve">ond funds </w:t>
      </w:r>
      <w:r w:rsidR="0023595B">
        <w:rPr>
          <w:bCs/>
          <w:color w:val="000000"/>
          <w:sz w:val="22"/>
          <w:szCs w:val="22"/>
        </w:rPr>
        <w:t xml:space="preserve">recorded net outflows of EUR </w:t>
      </w:r>
      <w:r w:rsidR="001142A5">
        <w:rPr>
          <w:bCs/>
          <w:color w:val="000000"/>
          <w:sz w:val="22"/>
          <w:szCs w:val="22"/>
        </w:rPr>
        <w:t>7 billion in Q</w:t>
      </w:r>
      <w:r w:rsidR="0023595B">
        <w:rPr>
          <w:bCs/>
          <w:color w:val="000000"/>
          <w:sz w:val="22"/>
          <w:szCs w:val="22"/>
        </w:rPr>
        <w:t xml:space="preserve">2, </w:t>
      </w:r>
      <w:r w:rsidR="007A1202">
        <w:rPr>
          <w:bCs/>
          <w:color w:val="000000"/>
          <w:sz w:val="22"/>
          <w:szCs w:val="22"/>
        </w:rPr>
        <w:t>compared</w:t>
      </w:r>
      <w:r w:rsidR="0023595B">
        <w:rPr>
          <w:bCs/>
          <w:color w:val="000000"/>
          <w:sz w:val="22"/>
          <w:szCs w:val="22"/>
        </w:rPr>
        <w:t xml:space="preserve"> to net inflows of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23595B">
        <w:rPr>
          <w:bCs/>
          <w:color w:val="000000"/>
          <w:sz w:val="22"/>
          <w:szCs w:val="22"/>
        </w:rPr>
        <w:t>22</w:t>
      </w:r>
      <w:r w:rsidR="001142A5">
        <w:rPr>
          <w:bCs/>
          <w:color w:val="000000"/>
          <w:sz w:val="22"/>
          <w:szCs w:val="22"/>
        </w:rPr>
        <w:t xml:space="preserve"> billion in Q</w:t>
      </w:r>
      <w:r w:rsidR="0023595B">
        <w:rPr>
          <w:bCs/>
          <w:color w:val="000000"/>
          <w:sz w:val="22"/>
          <w:szCs w:val="22"/>
        </w:rPr>
        <w:t xml:space="preserve">1 </w:t>
      </w:r>
      <w:r w:rsidR="001142A5">
        <w:rPr>
          <w:bCs/>
          <w:color w:val="000000"/>
          <w:sz w:val="22"/>
          <w:szCs w:val="22"/>
        </w:rPr>
        <w:t>201</w:t>
      </w:r>
      <w:r w:rsidR="0023595B">
        <w:rPr>
          <w:bCs/>
          <w:color w:val="000000"/>
          <w:sz w:val="22"/>
          <w:szCs w:val="22"/>
        </w:rPr>
        <w:t>8</w:t>
      </w:r>
      <w:r w:rsidR="001142A5">
        <w:rPr>
          <w:bCs/>
          <w:color w:val="000000"/>
          <w:sz w:val="22"/>
          <w:szCs w:val="22"/>
        </w:rPr>
        <w:t xml:space="preserve">. Net sales of multi-asset funds totalled EUR </w:t>
      </w:r>
      <w:r w:rsidR="0023595B">
        <w:rPr>
          <w:bCs/>
          <w:color w:val="000000"/>
          <w:sz w:val="22"/>
          <w:szCs w:val="22"/>
        </w:rPr>
        <w:t>25</w:t>
      </w:r>
      <w:r w:rsidR="001142A5">
        <w:rPr>
          <w:bCs/>
          <w:color w:val="000000"/>
          <w:sz w:val="22"/>
          <w:szCs w:val="22"/>
        </w:rPr>
        <w:t xml:space="preserve"> billion in Q2 201</w:t>
      </w:r>
      <w:r w:rsidR="0023595B">
        <w:rPr>
          <w:bCs/>
          <w:color w:val="000000"/>
          <w:sz w:val="22"/>
          <w:szCs w:val="22"/>
        </w:rPr>
        <w:t>8</w:t>
      </w:r>
      <w:r w:rsidR="001142A5">
        <w:rPr>
          <w:bCs/>
          <w:color w:val="000000"/>
          <w:sz w:val="22"/>
          <w:szCs w:val="22"/>
        </w:rPr>
        <w:t xml:space="preserve">, </w:t>
      </w:r>
      <w:r w:rsidR="0023595B">
        <w:rPr>
          <w:bCs/>
          <w:color w:val="000000"/>
          <w:sz w:val="22"/>
          <w:szCs w:val="22"/>
        </w:rPr>
        <w:t xml:space="preserve">down </w:t>
      </w:r>
      <w:r w:rsidR="001142A5">
        <w:rPr>
          <w:bCs/>
          <w:color w:val="000000"/>
          <w:sz w:val="22"/>
          <w:szCs w:val="22"/>
        </w:rPr>
        <w:t xml:space="preserve">from EUR </w:t>
      </w:r>
      <w:r w:rsidR="0023595B">
        <w:rPr>
          <w:bCs/>
          <w:color w:val="000000"/>
          <w:sz w:val="22"/>
          <w:szCs w:val="22"/>
        </w:rPr>
        <w:t>68</w:t>
      </w:r>
      <w:r w:rsidR="001142A5">
        <w:rPr>
          <w:bCs/>
          <w:color w:val="000000"/>
          <w:sz w:val="22"/>
          <w:szCs w:val="22"/>
        </w:rPr>
        <w:t xml:space="preserve"> billion in the previous quarter. Money market funds experienced net outflows </w:t>
      </w:r>
      <w:r w:rsidR="007A1202">
        <w:rPr>
          <w:bCs/>
          <w:color w:val="000000"/>
          <w:sz w:val="22"/>
          <w:szCs w:val="22"/>
        </w:rPr>
        <w:t xml:space="preserve">of </w:t>
      </w:r>
      <w:r w:rsidR="0023595B">
        <w:rPr>
          <w:bCs/>
          <w:color w:val="000000"/>
          <w:sz w:val="22"/>
          <w:szCs w:val="22"/>
        </w:rPr>
        <w:t>EUR 19</w:t>
      </w:r>
      <w:r w:rsidR="005E745F">
        <w:rPr>
          <w:bCs/>
          <w:color w:val="000000"/>
          <w:sz w:val="22"/>
          <w:szCs w:val="22"/>
        </w:rPr>
        <w:t xml:space="preserve"> billion</w:t>
      </w:r>
      <w:r w:rsidR="001142A5">
        <w:rPr>
          <w:bCs/>
          <w:color w:val="000000"/>
          <w:sz w:val="22"/>
          <w:szCs w:val="22"/>
        </w:rPr>
        <w:t xml:space="preserve">, compared to EUR </w:t>
      </w:r>
      <w:r w:rsidR="0023595B">
        <w:rPr>
          <w:bCs/>
          <w:color w:val="000000"/>
          <w:sz w:val="22"/>
          <w:szCs w:val="22"/>
        </w:rPr>
        <w:t>4</w:t>
      </w:r>
      <w:r w:rsidR="001142A5">
        <w:rPr>
          <w:bCs/>
          <w:color w:val="000000"/>
          <w:sz w:val="22"/>
          <w:szCs w:val="22"/>
        </w:rPr>
        <w:t xml:space="preserve"> billion in the first quarter of 201</w:t>
      </w:r>
      <w:r w:rsidR="0023595B">
        <w:rPr>
          <w:bCs/>
          <w:color w:val="000000"/>
          <w:sz w:val="22"/>
          <w:szCs w:val="22"/>
        </w:rPr>
        <w:t>8</w:t>
      </w:r>
      <w:r w:rsidR="001142A5">
        <w:rPr>
          <w:bCs/>
          <w:color w:val="000000"/>
          <w:sz w:val="22"/>
          <w:szCs w:val="22"/>
        </w:rPr>
        <w:t xml:space="preserve">. </w:t>
      </w:r>
      <w:r w:rsidR="001142A5" w:rsidRPr="00C15217">
        <w:rPr>
          <w:bCs/>
          <w:color w:val="000000"/>
          <w:sz w:val="22"/>
          <w:szCs w:val="22"/>
        </w:rPr>
        <w:t>Net sales of other funds (including real estate, guaranteed/protected funds and other funds which do not fit any of the</w:t>
      </w:r>
      <w:r w:rsidR="001142A5">
        <w:rPr>
          <w:bCs/>
          <w:color w:val="000000"/>
          <w:sz w:val="22"/>
          <w:szCs w:val="22"/>
        </w:rPr>
        <w:t xml:space="preserve"> categories below or for which information is not available) totalled E</w:t>
      </w:r>
      <w:r w:rsidR="005E745F">
        <w:rPr>
          <w:bCs/>
          <w:color w:val="000000"/>
          <w:sz w:val="22"/>
          <w:szCs w:val="22"/>
        </w:rPr>
        <w:t xml:space="preserve">UR </w:t>
      </w:r>
      <w:r w:rsidR="0023595B">
        <w:rPr>
          <w:bCs/>
          <w:color w:val="000000"/>
          <w:sz w:val="22"/>
          <w:szCs w:val="22"/>
        </w:rPr>
        <w:t>30</w:t>
      </w:r>
      <w:r w:rsidR="005E745F">
        <w:rPr>
          <w:bCs/>
          <w:color w:val="000000"/>
          <w:sz w:val="22"/>
          <w:szCs w:val="22"/>
        </w:rPr>
        <w:t xml:space="preserve"> billion</w:t>
      </w:r>
      <w:r w:rsidR="001142A5">
        <w:rPr>
          <w:bCs/>
          <w:color w:val="000000"/>
          <w:sz w:val="22"/>
          <w:szCs w:val="22"/>
        </w:rPr>
        <w:t xml:space="preserve">, less than </w:t>
      </w:r>
      <w:r w:rsidR="00381386">
        <w:rPr>
          <w:bCs/>
          <w:color w:val="000000"/>
          <w:sz w:val="22"/>
          <w:szCs w:val="22"/>
        </w:rPr>
        <w:t xml:space="preserve">the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23595B">
        <w:rPr>
          <w:bCs/>
          <w:color w:val="000000"/>
          <w:sz w:val="22"/>
          <w:szCs w:val="22"/>
        </w:rPr>
        <w:t>51</w:t>
      </w:r>
      <w:r w:rsidR="001142A5">
        <w:rPr>
          <w:bCs/>
          <w:color w:val="000000"/>
          <w:sz w:val="22"/>
          <w:szCs w:val="22"/>
        </w:rPr>
        <w:t xml:space="preserve"> bill</w:t>
      </w:r>
      <w:bookmarkStart w:id="1" w:name="_GoBack"/>
      <w:bookmarkEnd w:id="1"/>
      <w:r w:rsidR="001142A5">
        <w:rPr>
          <w:bCs/>
          <w:color w:val="000000"/>
          <w:sz w:val="22"/>
          <w:szCs w:val="22"/>
        </w:rPr>
        <w:t xml:space="preserve">ion </w:t>
      </w:r>
      <w:r w:rsidR="00C15217">
        <w:rPr>
          <w:bCs/>
          <w:color w:val="000000"/>
          <w:sz w:val="22"/>
          <w:szCs w:val="22"/>
        </w:rPr>
        <w:t>in Q</w:t>
      </w:r>
      <w:r w:rsidR="00BF6617">
        <w:rPr>
          <w:bCs/>
          <w:color w:val="000000"/>
          <w:sz w:val="22"/>
          <w:szCs w:val="22"/>
        </w:rPr>
        <w:t>1</w:t>
      </w:r>
      <w:r w:rsidR="00C15217">
        <w:rPr>
          <w:bCs/>
          <w:color w:val="000000"/>
          <w:sz w:val="22"/>
          <w:szCs w:val="22"/>
        </w:rPr>
        <w:t xml:space="preserve"> 2018</w:t>
      </w:r>
      <w:r w:rsidR="001142A5">
        <w:rPr>
          <w:bCs/>
          <w:color w:val="000000"/>
          <w:sz w:val="22"/>
          <w:szCs w:val="22"/>
        </w:rPr>
        <w:t>.</w:t>
      </w:r>
    </w:p>
    <w:p w14:paraId="5D83230C" w14:textId="77777777" w:rsidR="00DE1F55" w:rsidRDefault="00DE1F5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14:paraId="0AE4710F" w14:textId="77777777" w:rsidR="001142A5" w:rsidRPr="00C0196C" w:rsidRDefault="00FD75CC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6432" behindDoc="0" locked="0" layoutInCell="1" allowOverlap="1" wp14:anchorId="7A07B963" wp14:editId="1560118A">
            <wp:simplePos x="0" y="0"/>
            <wp:positionH relativeFrom="column">
              <wp:posOffset>3218815</wp:posOffset>
            </wp:positionH>
            <wp:positionV relativeFrom="paragraph">
              <wp:posOffset>66675</wp:posOffset>
            </wp:positionV>
            <wp:extent cx="3495040" cy="2087880"/>
            <wp:effectExtent l="0" t="0" r="0" b="0"/>
            <wp:wrapNone/>
            <wp:docPr id="2470" name="Picture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0" locked="0" layoutInCell="1" allowOverlap="1" wp14:anchorId="218D974D" wp14:editId="4FF23957">
            <wp:simplePos x="0" y="0"/>
            <wp:positionH relativeFrom="column">
              <wp:posOffset>-171450</wp:posOffset>
            </wp:positionH>
            <wp:positionV relativeFrom="paragraph">
              <wp:posOffset>66675</wp:posOffset>
            </wp:positionV>
            <wp:extent cx="3515360" cy="2087880"/>
            <wp:effectExtent l="0" t="0" r="0" b="0"/>
            <wp:wrapNone/>
            <wp:docPr id="2469" name="Picture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1FCED" w14:textId="77777777" w:rsidR="001142A5" w:rsidRPr="00FD75CC" w:rsidRDefault="00FD75CC" w:rsidP="001142A5">
      <w:pPr>
        <w:pStyle w:val="Footer"/>
        <w:jc w:val="center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A8EACAE" wp14:editId="6E833C2A">
            <wp:simplePos x="0" y="0"/>
            <wp:positionH relativeFrom="column">
              <wp:posOffset>3190240</wp:posOffset>
            </wp:positionH>
            <wp:positionV relativeFrom="paragraph">
              <wp:posOffset>4388485</wp:posOffset>
            </wp:positionV>
            <wp:extent cx="3601720" cy="2135505"/>
            <wp:effectExtent l="0" t="0" r="0" b="0"/>
            <wp:wrapNone/>
            <wp:docPr id="2474" name="Picture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69504" behindDoc="0" locked="0" layoutInCell="1" allowOverlap="1" wp14:anchorId="3BA816DC" wp14:editId="3A81DCA6">
            <wp:simplePos x="0" y="0"/>
            <wp:positionH relativeFrom="column">
              <wp:posOffset>-258445</wp:posOffset>
            </wp:positionH>
            <wp:positionV relativeFrom="paragraph">
              <wp:posOffset>4388485</wp:posOffset>
            </wp:positionV>
            <wp:extent cx="3648710" cy="2100580"/>
            <wp:effectExtent l="0" t="0" r="0" b="0"/>
            <wp:wrapNone/>
            <wp:docPr id="2473" name="Picture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0" locked="0" layoutInCell="1" allowOverlap="1" wp14:anchorId="22FAA745" wp14:editId="04EFC92D">
            <wp:simplePos x="0" y="0"/>
            <wp:positionH relativeFrom="column">
              <wp:posOffset>3247390</wp:posOffset>
            </wp:positionH>
            <wp:positionV relativeFrom="paragraph">
              <wp:posOffset>2209165</wp:posOffset>
            </wp:positionV>
            <wp:extent cx="3497580" cy="2089785"/>
            <wp:effectExtent l="0" t="0" r="0" b="0"/>
            <wp:wrapNone/>
            <wp:docPr id="2472" name="Picture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CC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456" behindDoc="0" locked="0" layoutInCell="1" allowOverlap="1" wp14:anchorId="7E058548" wp14:editId="34D7155E">
            <wp:simplePos x="0" y="0"/>
            <wp:positionH relativeFrom="column">
              <wp:posOffset>-152400</wp:posOffset>
            </wp:positionH>
            <wp:positionV relativeFrom="paragraph">
              <wp:posOffset>2171065</wp:posOffset>
            </wp:positionV>
            <wp:extent cx="3533140" cy="2127885"/>
            <wp:effectExtent l="0" t="0" r="0" b="0"/>
            <wp:wrapNone/>
            <wp:docPr id="2471" name="Pictur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AE0FDF2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147AEB7B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4AA89ADC" w14:textId="7D5B6A59" w:rsidR="001142A5" w:rsidRPr="00D62403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  <w:bookmarkStart w:id="2" w:name="OLE_LINK4"/>
      <w:bookmarkStart w:id="3" w:name="OLE_LINK5"/>
      <w:r>
        <w:rPr>
          <w:b/>
          <w:color w:val="0000FF"/>
          <w:sz w:val="22"/>
          <w:szCs w:val="22"/>
        </w:rPr>
        <w:t>Total net as</w:t>
      </w:r>
      <w:r w:rsidR="004A01D1">
        <w:rPr>
          <w:b/>
          <w:color w:val="0000FF"/>
          <w:sz w:val="22"/>
          <w:szCs w:val="22"/>
        </w:rPr>
        <w:t>sets of the European investment</w:t>
      </w:r>
      <w:r w:rsidR="0062560A">
        <w:rPr>
          <w:b/>
          <w:color w:val="0000FF"/>
          <w:sz w:val="22"/>
          <w:szCs w:val="22"/>
        </w:rPr>
        <w:t xml:space="preserve"> increased</w:t>
      </w:r>
      <w:r w:rsidR="00AC7E78">
        <w:rPr>
          <w:b/>
          <w:color w:val="0000FF"/>
          <w:sz w:val="22"/>
          <w:szCs w:val="22"/>
        </w:rPr>
        <w:t xml:space="preserve"> to EUR </w:t>
      </w:r>
      <w:r w:rsidR="00FE5E15">
        <w:rPr>
          <w:b/>
          <w:color w:val="0000FF"/>
          <w:sz w:val="22"/>
          <w:szCs w:val="22"/>
        </w:rPr>
        <w:t>15,788</w:t>
      </w:r>
      <w:r w:rsidR="0062560A">
        <w:rPr>
          <w:b/>
          <w:color w:val="0000FF"/>
          <w:sz w:val="22"/>
          <w:szCs w:val="22"/>
        </w:rPr>
        <w:t xml:space="preserve"> billion at end Q2 201</w:t>
      </w:r>
      <w:r w:rsidR="00FE5E15">
        <w:rPr>
          <w:b/>
          <w:color w:val="0000FF"/>
          <w:sz w:val="22"/>
          <w:szCs w:val="22"/>
        </w:rPr>
        <w:t>8</w:t>
      </w:r>
      <w:r w:rsidR="0062560A">
        <w:rPr>
          <w:b/>
          <w:color w:val="0000FF"/>
          <w:sz w:val="22"/>
          <w:szCs w:val="22"/>
        </w:rPr>
        <w:t xml:space="preserve">, representing </w:t>
      </w:r>
      <w:r w:rsidR="00C15217">
        <w:rPr>
          <w:b/>
          <w:color w:val="0000FF"/>
          <w:sz w:val="22"/>
          <w:szCs w:val="22"/>
        </w:rPr>
        <w:t xml:space="preserve">a </w:t>
      </w:r>
      <w:r w:rsidR="0062560A">
        <w:rPr>
          <w:b/>
          <w:color w:val="0000FF"/>
          <w:sz w:val="22"/>
          <w:szCs w:val="22"/>
        </w:rPr>
        <w:t xml:space="preserve">net asset growth </w:t>
      </w:r>
      <w:r w:rsidR="004A01D1">
        <w:rPr>
          <w:b/>
          <w:color w:val="0000FF"/>
          <w:sz w:val="22"/>
          <w:szCs w:val="22"/>
        </w:rPr>
        <w:t xml:space="preserve">of </w:t>
      </w:r>
      <w:r w:rsidR="00FE5E15">
        <w:rPr>
          <w:b/>
          <w:color w:val="0000FF"/>
          <w:sz w:val="22"/>
          <w:szCs w:val="22"/>
        </w:rPr>
        <w:t>1</w:t>
      </w:r>
      <w:r w:rsidR="00C15217">
        <w:rPr>
          <w:b/>
          <w:color w:val="0000FF"/>
          <w:sz w:val="22"/>
          <w:szCs w:val="22"/>
        </w:rPr>
        <w:t>.6% since Q1</w:t>
      </w:r>
      <w:r w:rsidR="0062560A">
        <w:rPr>
          <w:b/>
          <w:color w:val="0000FF"/>
          <w:sz w:val="22"/>
          <w:szCs w:val="22"/>
        </w:rPr>
        <w:t xml:space="preserve"> 201</w:t>
      </w:r>
      <w:r w:rsidR="00FE5E15">
        <w:rPr>
          <w:b/>
          <w:color w:val="0000FF"/>
          <w:sz w:val="22"/>
          <w:szCs w:val="22"/>
        </w:rPr>
        <w:t>8</w:t>
      </w:r>
      <w:r w:rsidR="0062560A">
        <w:rPr>
          <w:b/>
          <w:color w:val="0000FF"/>
          <w:sz w:val="22"/>
          <w:szCs w:val="22"/>
        </w:rPr>
        <w:t xml:space="preserve"> and </w:t>
      </w:r>
      <w:r w:rsidR="00FE5E15">
        <w:rPr>
          <w:b/>
          <w:color w:val="0000FF"/>
          <w:sz w:val="22"/>
          <w:szCs w:val="22"/>
        </w:rPr>
        <w:t>1.1</w:t>
      </w:r>
      <w:r w:rsidR="0062560A">
        <w:rPr>
          <w:b/>
          <w:color w:val="0000FF"/>
          <w:sz w:val="22"/>
          <w:szCs w:val="22"/>
        </w:rPr>
        <w:t>% since end 201</w:t>
      </w:r>
      <w:r w:rsidR="00FE5E15">
        <w:rPr>
          <w:b/>
          <w:color w:val="0000FF"/>
          <w:sz w:val="22"/>
          <w:szCs w:val="22"/>
        </w:rPr>
        <w:t>7</w:t>
      </w:r>
      <w:r w:rsidR="0062560A">
        <w:rPr>
          <w:b/>
          <w:color w:val="0000FF"/>
          <w:sz w:val="22"/>
          <w:szCs w:val="22"/>
        </w:rPr>
        <w:t xml:space="preserve">. </w:t>
      </w:r>
    </w:p>
    <w:bookmarkEnd w:id="2"/>
    <w:bookmarkEnd w:id="3"/>
    <w:p w14:paraId="4149C735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466C1B90" w14:textId="395B4B42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With EUR 9,</w:t>
      </w:r>
      <w:r w:rsidR="00FE5E15">
        <w:rPr>
          <w:sz w:val="22"/>
          <w:szCs w:val="22"/>
        </w:rPr>
        <w:t>824</w:t>
      </w:r>
      <w:r w:rsidRPr="00654E5B">
        <w:rPr>
          <w:sz w:val="22"/>
          <w:szCs w:val="22"/>
        </w:rPr>
        <w:t xml:space="preserve"> billion invested in UCITS, this segmen</w:t>
      </w:r>
      <w:r w:rsidR="00FE5E15">
        <w:rPr>
          <w:sz w:val="22"/>
          <w:szCs w:val="22"/>
        </w:rPr>
        <w:t>t accounted for 62.2</w:t>
      </w:r>
      <w:r>
        <w:rPr>
          <w:sz w:val="22"/>
          <w:szCs w:val="22"/>
        </w:rPr>
        <w:t>% of total</w:t>
      </w:r>
      <w:r w:rsidRPr="00654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European investment </w:t>
      </w:r>
      <w:r w:rsidRPr="00654E5B">
        <w:rPr>
          <w:sz w:val="22"/>
          <w:szCs w:val="22"/>
        </w:rPr>
        <w:t>fund</w:t>
      </w:r>
      <w:r>
        <w:rPr>
          <w:sz w:val="22"/>
          <w:szCs w:val="22"/>
        </w:rPr>
        <w:t xml:space="preserve"> assets at end Q2 201</w:t>
      </w:r>
      <w:r w:rsidR="00FE5E15">
        <w:rPr>
          <w:sz w:val="22"/>
          <w:szCs w:val="22"/>
        </w:rPr>
        <w:t>8</w:t>
      </w:r>
      <w:r>
        <w:rPr>
          <w:sz w:val="22"/>
          <w:szCs w:val="22"/>
        </w:rPr>
        <w:t>, with the remaini</w:t>
      </w:r>
      <w:r w:rsidR="00AC7E78">
        <w:rPr>
          <w:sz w:val="22"/>
          <w:szCs w:val="22"/>
        </w:rPr>
        <w:t xml:space="preserve">ng </w:t>
      </w:r>
      <w:r w:rsidR="000647B0">
        <w:rPr>
          <w:sz w:val="22"/>
          <w:szCs w:val="22"/>
        </w:rPr>
        <w:t>37.8</w:t>
      </w:r>
      <w:r w:rsidR="00AC7E78">
        <w:rPr>
          <w:sz w:val="22"/>
          <w:szCs w:val="22"/>
        </w:rPr>
        <w:t>% (equivalent to EUR 5,</w:t>
      </w:r>
      <w:r w:rsidR="000647B0">
        <w:rPr>
          <w:sz w:val="22"/>
          <w:szCs w:val="22"/>
        </w:rPr>
        <w:t>965</w:t>
      </w:r>
      <w:r>
        <w:rPr>
          <w:sz w:val="22"/>
          <w:szCs w:val="22"/>
        </w:rPr>
        <w:t xml:space="preserve"> billion) coming from AIF</w:t>
      </w:r>
      <w:r w:rsidR="00A52E45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3C6A3EF3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52FDCFBC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6E1748DE" w14:textId="6F529FCE" w:rsidR="001142A5" w:rsidRDefault="001142A5" w:rsidP="001142A5">
      <w:pPr>
        <w:pStyle w:val="FootnoteText"/>
        <w:tabs>
          <w:tab w:val="left" w:pos="360"/>
        </w:tabs>
        <w:jc w:val="center"/>
      </w:pPr>
    </w:p>
    <w:p w14:paraId="0E536A3B" w14:textId="4FC98531" w:rsidR="001142A5" w:rsidRPr="00FD75CC" w:rsidRDefault="00656D32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D32">
        <w:rPr>
          <w:noProof/>
          <w:lang w:val="nl-BE" w:eastAsia="nl-BE"/>
        </w:rPr>
        <w:drawing>
          <wp:anchor distT="0" distB="0" distL="114300" distR="114300" simplePos="0" relativeHeight="251687936" behindDoc="0" locked="0" layoutInCell="1" allowOverlap="1" wp14:anchorId="78BEB35C" wp14:editId="7AB7B9B5">
            <wp:simplePos x="0" y="0"/>
            <wp:positionH relativeFrom="margin">
              <wp:align>center</wp:align>
            </wp:positionH>
            <wp:positionV relativeFrom="page">
              <wp:posOffset>2590800</wp:posOffset>
            </wp:positionV>
            <wp:extent cx="5706000" cy="6678000"/>
            <wp:effectExtent l="0" t="0" r="9525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00" cy="66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>
        <w:br w:type="page"/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311F1D65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Funds by Country of Domiciliation</w:t>
      </w:r>
    </w:p>
    <w:p w14:paraId="11B77BDE" w14:textId="77777777" w:rsidR="001142A5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</w:p>
    <w:p w14:paraId="4717B4C3" w14:textId="646C18DC" w:rsidR="001142A5" w:rsidRPr="00D62403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In Q2 201</w:t>
      </w:r>
      <w:r w:rsidR="00077778">
        <w:rPr>
          <w:b/>
          <w:color w:val="0000FF"/>
          <w:sz w:val="22"/>
          <w:szCs w:val="22"/>
        </w:rPr>
        <w:t>8</w:t>
      </w:r>
      <w:r>
        <w:rPr>
          <w:b/>
          <w:color w:val="0000FF"/>
          <w:sz w:val="22"/>
          <w:szCs w:val="22"/>
        </w:rPr>
        <w:t>, t</w:t>
      </w:r>
      <w:r w:rsidRPr="00654E5B">
        <w:rPr>
          <w:b/>
          <w:color w:val="0000FF"/>
          <w:sz w:val="22"/>
          <w:szCs w:val="22"/>
        </w:rPr>
        <w:t xml:space="preserve">he </w:t>
      </w:r>
      <w:r>
        <w:rPr>
          <w:b/>
          <w:color w:val="0000FF"/>
          <w:sz w:val="22"/>
          <w:szCs w:val="22"/>
        </w:rPr>
        <w:t xml:space="preserve">total number of UCITS and </w:t>
      </w:r>
      <w:r w:rsidR="00C15217">
        <w:rPr>
          <w:b/>
          <w:color w:val="0000FF"/>
          <w:sz w:val="22"/>
          <w:szCs w:val="22"/>
        </w:rPr>
        <w:t>Alter</w:t>
      </w:r>
      <w:r w:rsidR="00B56D3D">
        <w:rPr>
          <w:b/>
          <w:color w:val="0000FF"/>
          <w:sz w:val="22"/>
          <w:szCs w:val="22"/>
        </w:rPr>
        <w:t>n</w:t>
      </w:r>
      <w:r w:rsidR="00C15217">
        <w:rPr>
          <w:b/>
          <w:color w:val="0000FF"/>
          <w:sz w:val="22"/>
          <w:szCs w:val="22"/>
        </w:rPr>
        <w:t>ative Investment F</w:t>
      </w:r>
      <w:r w:rsidR="00366DB9">
        <w:rPr>
          <w:b/>
          <w:color w:val="0000FF"/>
          <w:sz w:val="22"/>
          <w:szCs w:val="22"/>
        </w:rPr>
        <w:t xml:space="preserve">unds </w:t>
      </w:r>
      <w:r w:rsidR="00A52E45">
        <w:rPr>
          <w:b/>
          <w:color w:val="0000FF"/>
          <w:sz w:val="22"/>
          <w:szCs w:val="22"/>
        </w:rPr>
        <w:t>(AIF</w:t>
      </w:r>
      <w:r w:rsidR="00B801DA">
        <w:rPr>
          <w:b/>
          <w:color w:val="0000FF"/>
          <w:sz w:val="22"/>
          <w:szCs w:val="22"/>
        </w:rPr>
        <w:t>s</w:t>
      </w:r>
      <w:r w:rsidR="00A52E45">
        <w:rPr>
          <w:b/>
          <w:color w:val="0000FF"/>
          <w:sz w:val="22"/>
          <w:szCs w:val="22"/>
        </w:rPr>
        <w:t xml:space="preserve">) </w:t>
      </w:r>
      <w:r w:rsidR="00366DB9">
        <w:rPr>
          <w:b/>
          <w:color w:val="0000FF"/>
          <w:sz w:val="22"/>
          <w:szCs w:val="22"/>
        </w:rPr>
        <w:t>increased by 0.</w:t>
      </w:r>
      <w:r w:rsidR="00077778">
        <w:rPr>
          <w:b/>
          <w:color w:val="0000FF"/>
          <w:sz w:val="22"/>
          <w:szCs w:val="22"/>
        </w:rPr>
        <w:t>7</w:t>
      </w:r>
      <w:r w:rsidR="00366DB9">
        <w:rPr>
          <w:b/>
          <w:color w:val="0000FF"/>
          <w:sz w:val="22"/>
          <w:szCs w:val="22"/>
        </w:rPr>
        <w:t xml:space="preserve">% to </w:t>
      </w:r>
      <w:r w:rsidR="00077778">
        <w:rPr>
          <w:b/>
          <w:color w:val="0000FF"/>
          <w:sz w:val="22"/>
          <w:szCs w:val="22"/>
        </w:rPr>
        <w:t>61</w:t>
      </w:r>
      <w:r w:rsidR="00366DB9">
        <w:rPr>
          <w:b/>
          <w:color w:val="0000FF"/>
          <w:sz w:val="22"/>
          <w:szCs w:val="22"/>
        </w:rPr>
        <w:t>,</w:t>
      </w:r>
      <w:r w:rsidR="00077778">
        <w:rPr>
          <w:b/>
          <w:color w:val="0000FF"/>
          <w:sz w:val="22"/>
          <w:szCs w:val="22"/>
        </w:rPr>
        <w:t>236</w:t>
      </w:r>
      <w:r>
        <w:rPr>
          <w:b/>
          <w:color w:val="0000FF"/>
          <w:sz w:val="22"/>
          <w:szCs w:val="22"/>
        </w:rPr>
        <w:t>.</w:t>
      </w:r>
    </w:p>
    <w:p w14:paraId="737E70C2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54B8AD19" w14:textId="33AF9073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At the end of the second quarter of 201</w:t>
      </w:r>
      <w:r w:rsidR="00077778">
        <w:rPr>
          <w:sz w:val="22"/>
          <w:szCs w:val="22"/>
        </w:rPr>
        <w:t>8, UCITS accounted for 32</w:t>
      </w:r>
      <w:r>
        <w:rPr>
          <w:sz w:val="22"/>
          <w:szCs w:val="22"/>
        </w:rPr>
        <w:t>,</w:t>
      </w:r>
      <w:r w:rsidR="00077778">
        <w:rPr>
          <w:sz w:val="22"/>
          <w:szCs w:val="22"/>
        </w:rPr>
        <w:t>733 funds or 53</w:t>
      </w:r>
      <w:r>
        <w:rPr>
          <w:sz w:val="22"/>
          <w:szCs w:val="22"/>
        </w:rPr>
        <w:t>.5% of the European investment fund market, while AIF</w:t>
      </w:r>
      <w:r w:rsidR="00A52E45">
        <w:rPr>
          <w:sz w:val="22"/>
          <w:szCs w:val="22"/>
        </w:rPr>
        <w:t>s</w:t>
      </w:r>
      <w:r>
        <w:rPr>
          <w:sz w:val="22"/>
          <w:szCs w:val="22"/>
        </w:rPr>
        <w:t xml:space="preserve"> accounted for 28,</w:t>
      </w:r>
      <w:r w:rsidR="00077778">
        <w:rPr>
          <w:sz w:val="22"/>
          <w:szCs w:val="22"/>
        </w:rPr>
        <w:t>503 funds, or 46</w:t>
      </w:r>
      <w:r>
        <w:rPr>
          <w:sz w:val="22"/>
          <w:szCs w:val="22"/>
        </w:rPr>
        <w:t>.5% of the market.</w:t>
      </w:r>
    </w:p>
    <w:p w14:paraId="4BD58434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593D9CD9" w14:textId="77777777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BB7287E" w14:textId="63DDF4AE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C9946B0" w14:textId="3C8B5E0A" w:rsidR="001142A5" w:rsidRDefault="00680196" w:rsidP="001142A5">
      <w:pPr>
        <w:pStyle w:val="FootnoteText"/>
        <w:tabs>
          <w:tab w:val="left" w:pos="360"/>
        </w:tabs>
        <w:jc w:val="center"/>
      </w:pPr>
      <w:r w:rsidRPr="00F77A96">
        <w:rPr>
          <w:noProof/>
          <w:lang w:val="nl-BE" w:eastAsia="nl-BE"/>
        </w:rPr>
        <w:drawing>
          <wp:anchor distT="0" distB="0" distL="114300" distR="114300" simplePos="0" relativeHeight="251683840" behindDoc="0" locked="0" layoutInCell="1" allowOverlap="1" wp14:anchorId="539D8D10" wp14:editId="2AA57094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5857200" cy="6249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00" cy="62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98A68" w14:textId="4BF62236" w:rsidR="001665DF" w:rsidRDefault="001665DF" w:rsidP="00AD3D5F">
      <w:pPr>
        <w:pStyle w:val="FootnoteText"/>
        <w:tabs>
          <w:tab w:val="left" w:pos="360"/>
        </w:tabs>
        <w:jc w:val="center"/>
      </w:pPr>
    </w:p>
    <w:sectPr w:rsidR="001665DF">
      <w:headerReference w:type="default" r:id="rId39"/>
      <w:footerReference w:type="default" r:id="rId40"/>
      <w:pgSz w:w="11906" w:h="16838" w:code="9"/>
      <w:pgMar w:top="794" w:right="1021" w:bottom="1134" w:left="102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FA01" w14:textId="77777777" w:rsidR="00903A19" w:rsidRDefault="00903A19">
      <w:r>
        <w:separator/>
      </w:r>
    </w:p>
  </w:endnote>
  <w:endnote w:type="continuationSeparator" w:id="0">
    <w:p w14:paraId="405E7BC6" w14:textId="77777777" w:rsidR="00903A19" w:rsidRDefault="0090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B5FE" w14:textId="77777777" w:rsidR="003B223C" w:rsidRDefault="003B223C" w:rsidP="00E009CD">
    <w:pPr>
      <w:pStyle w:val="Footer"/>
      <w:tabs>
        <w:tab w:val="left" w:pos="9270"/>
      </w:tabs>
      <w:ind w:right="360"/>
      <w:jc w:val="right"/>
      <w:rPr>
        <w:i/>
        <w:iCs/>
      </w:rPr>
    </w:pPr>
    <w:r>
      <w:rPr>
        <w:i/>
        <w:iCs/>
      </w:rPr>
      <w:t>EFAMA Quarterly</w:t>
    </w:r>
    <w:r w:rsidR="003F103A">
      <w:rPr>
        <w:i/>
        <w:iCs/>
      </w:rPr>
      <w:t xml:space="preserve"> Statis</w:t>
    </w:r>
    <w:r w:rsidR="000E5FCE">
      <w:rPr>
        <w:i/>
        <w:iCs/>
      </w:rPr>
      <w:t>tical Release N°7</w:t>
    </w:r>
    <w:r w:rsidR="001957D0">
      <w:rPr>
        <w:i/>
        <w:iCs/>
      </w:rPr>
      <w:t>4</w:t>
    </w:r>
    <w:r w:rsidR="00DB7D89">
      <w:rPr>
        <w:i/>
        <w:iCs/>
      </w:rPr>
      <w:t xml:space="preserve"> (</w:t>
    </w:r>
    <w:r w:rsidR="000E5FCE">
      <w:rPr>
        <w:i/>
        <w:iCs/>
      </w:rPr>
      <w:t>Second quarter of 201</w:t>
    </w:r>
    <w:r w:rsidR="001957D0">
      <w:rPr>
        <w:i/>
        <w:iCs/>
      </w:rPr>
      <w:t>8</w:t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71AC3" w14:textId="77777777" w:rsidR="00903A19" w:rsidRDefault="00903A19">
      <w:r>
        <w:separator/>
      </w:r>
    </w:p>
  </w:footnote>
  <w:footnote w:type="continuationSeparator" w:id="0">
    <w:p w14:paraId="3FE60771" w14:textId="77777777" w:rsidR="00903A19" w:rsidRDefault="0090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955C" w14:textId="77777777" w:rsidR="003B223C" w:rsidRDefault="003B223C">
    <w:pPr>
      <w:pStyle w:val="Head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7A1202">
      <w:rPr>
        <w:rStyle w:val="PageNumber"/>
        <w:noProof/>
        <w:sz w:val="20"/>
        <w:szCs w:val="20"/>
      </w:rPr>
      <w:t>13</w:t>
    </w:r>
    <w:r>
      <w:rPr>
        <w:rStyle w:val="PageNumber"/>
        <w:sz w:val="20"/>
        <w:szCs w:val="20"/>
      </w:rPr>
      <w:fldChar w:fldCharType="end"/>
    </w:r>
  </w:p>
  <w:p w14:paraId="2555DEA3" w14:textId="77777777" w:rsidR="003B223C" w:rsidRDefault="003B22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409"/>
    <w:multiLevelType w:val="hybridMultilevel"/>
    <w:tmpl w:val="8B04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C0CEB"/>
    <w:multiLevelType w:val="hybridMultilevel"/>
    <w:tmpl w:val="E6BA0C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CD0"/>
    <w:multiLevelType w:val="hybridMultilevel"/>
    <w:tmpl w:val="ECB0AA64"/>
    <w:lvl w:ilvl="0" w:tplc="16A4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C17"/>
    <w:multiLevelType w:val="hybridMultilevel"/>
    <w:tmpl w:val="D528DBB2"/>
    <w:lvl w:ilvl="0" w:tplc="8D7C5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58"/>
    <w:multiLevelType w:val="hybridMultilevel"/>
    <w:tmpl w:val="B4F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FCD"/>
    <w:multiLevelType w:val="hybridMultilevel"/>
    <w:tmpl w:val="552E4D6C"/>
    <w:lvl w:ilvl="0" w:tplc="8CDC3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50B"/>
    <w:multiLevelType w:val="hybridMultilevel"/>
    <w:tmpl w:val="E38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6C5"/>
    <w:multiLevelType w:val="hybridMultilevel"/>
    <w:tmpl w:val="5F9687AA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7D3"/>
    <w:multiLevelType w:val="hybridMultilevel"/>
    <w:tmpl w:val="25769C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951C9"/>
    <w:multiLevelType w:val="hybridMultilevel"/>
    <w:tmpl w:val="B9F68B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60A07"/>
    <w:multiLevelType w:val="hybridMultilevel"/>
    <w:tmpl w:val="CA6E74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7362"/>
    <w:multiLevelType w:val="hybridMultilevel"/>
    <w:tmpl w:val="AD0A06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5585"/>
    <w:multiLevelType w:val="hybridMultilevel"/>
    <w:tmpl w:val="337A3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723AC"/>
    <w:multiLevelType w:val="hybridMultilevel"/>
    <w:tmpl w:val="57C8F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F11"/>
    <w:multiLevelType w:val="hybridMultilevel"/>
    <w:tmpl w:val="11BA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93C"/>
    <w:multiLevelType w:val="hybridMultilevel"/>
    <w:tmpl w:val="A56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055D"/>
    <w:multiLevelType w:val="hybridMultilevel"/>
    <w:tmpl w:val="31340A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9099C"/>
    <w:multiLevelType w:val="hybridMultilevel"/>
    <w:tmpl w:val="50D8E044"/>
    <w:lvl w:ilvl="0" w:tplc="F818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C6"/>
    <w:multiLevelType w:val="hybridMultilevel"/>
    <w:tmpl w:val="A6C6A15E"/>
    <w:lvl w:ilvl="0" w:tplc="AEE4F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081"/>
    <w:multiLevelType w:val="hybridMultilevel"/>
    <w:tmpl w:val="F36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E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1A1"/>
    <w:multiLevelType w:val="hybridMultilevel"/>
    <w:tmpl w:val="6F9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36C01"/>
    <w:multiLevelType w:val="hybridMultilevel"/>
    <w:tmpl w:val="63B82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61019"/>
    <w:multiLevelType w:val="hybridMultilevel"/>
    <w:tmpl w:val="D604E262"/>
    <w:lvl w:ilvl="0" w:tplc="342AA9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CE04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D86"/>
    <w:multiLevelType w:val="hybridMultilevel"/>
    <w:tmpl w:val="6ACEE474"/>
    <w:lvl w:ilvl="0" w:tplc="C4C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7949"/>
    <w:multiLevelType w:val="hybridMultilevel"/>
    <w:tmpl w:val="EAB4B702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6E15"/>
    <w:multiLevelType w:val="hybridMultilevel"/>
    <w:tmpl w:val="7FD478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D205A"/>
    <w:multiLevelType w:val="hybridMultilevel"/>
    <w:tmpl w:val="0E0AFF06"/>
    <w:lvl w:ilvl="0" w:tplc="DA82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B15"/>
    <w:multiLevelType w:val="hybridMultilevel"/>
    <w:tmpl w:val="5BBA5F78"/>
    <w:lvl w:ilvl="0" w:tplc="1E4A7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64B90"/>
    <w:multiLevelType w:val="hybridMultilevel"/>
    <w:tmpl w:val="12C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079"/>
    <w:multiLevelType w:val="multilevel"/>
    <w:tmpl w:val="4BD80D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33F1B"/>
    <w:multiLevelType w:val="hybridMultilevel"/>
    <w:tmpl w:val="6FD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5440"/>
    <w:multiLevelType w:val="hybridMultilevel"/>
    <w:tmpl w:val="C1103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C8F"/>
    <w:multiLevelType w:val="hybridMultilevel"/>
    <w:tmpl w:val="B27E41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C5CF4"/>
    <w:multiLevelType w:val="hybridMultilevel"/>
    <w:tmpl w:val="6F208198"/>
    <w:lvl w:ilvl="0" w:tplc="981CF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1FB"/>
    <w:multiLevelType w:val="hybridMultilevel"/>
    <w:tmpl w:val="747E9984"/>
    <w:lvl w:ilvl="0" w:tplc="2E92DC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7848"/>
    <w:multiLevelType w:val="hybridMultilevel"/>
    <w:tmpl w:val="956CFC4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19F5"/>
    <w:multiLevelType w:val="hybridMultilevel"/>
    <w:tmpl w:val="7908B7DE"/>
    <w:lvl w:ilvl="0" w:tplc="C18A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39A"/>
    <w:multiLevelType w:val="hybridMultilevel"/>
    <w:tmpl w:val="4CD4E80A"/>
    <w:lvl w:ilvl="0" w:tplc="E1D8C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7"/>
  </w:num>
  <w:num w:numId="9">
    <w:abstractNumId w:val="22"/>
  </w:num>
  <w:num w:numId="10">
    <w:abstractNumId w:val="31"/>
  </w:num>
  <w:num w:numId="11">
    <w:abstractNumId w:val="32"/>
  </w:num>
  <w:num w:numId="12">
    <w:abstractNumId w:val="2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2"/>
  </w:num>
  <w:num w:numId="21">
    <w:abstractNumId w:val="34"/>
  </w:num>
  <w:num w:numId="22">
    <w:abstractNumId w:val="5"/>
  </w:num>
  <w:num w:numId="23">
    <w:abstractNumId w:val="26"/>
  </w:num>
  <w:num w:numId="24">
    <w:abstractNumId w:val="3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23"/>
  </w:num>
  <w:num w:numId="29">
    <w:abstractNumId w:val="19"/>
  </w:num>
  <w:num w:numId="30">
    <w:abstractNumId w:val="13"/>
  </w:num>
  <w:num w:numId="31">
    <w:abstractNumId w:val="14"/>
  </w:num>
  <w:num w:numId="32">
    <w:abstractNumId w:val="35"/>
  </w:num>
  <w:num w:numId="33">
    <w:abstractNumId w:val="27"/>
  </w:num>
  <w:num w:numId="34">
    <w:abstractNumId w:val="37"/>
  </w:num>
  <w:num w:numId="35">
    <w:abstractNumId w:val="4"/>
  </w:num>
  <w:num w:numId="36">
    <w:abstractNumId w:val="15"/>
  </w:num>
  <w:num w:numId="37">
    <w:abstractNumId w:val="6"/>
  </w:num>
  <w:num w:numId="38">
    <w:abstractNumId w:val="30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3"/>
    <w:rsid w:val="00000909"/>
    <w:rsid w:val="00000E96"/>
    <w:rsid w:val="000021E2"/>
    <w:rsid w:val="00002C7A"/>
    <w:rsid w:val="0000557D"/>
    <w:rsid w:val="0000603C"/>
    <w:rsid w:val="000072E8"/>
    <w:rsid w:val="00007955"/>
    <w:rsid w:val="00011437"/>
    <w:rsid w:val="00013347"/>
    <w:rsid w:val="00013601"/>
    <w:rsid w:val="000143F1"/>
    <w:rsid w:val="00015029"/>
    <w:rsid w:val="000156F4"/>
    <w:rsid w:val="00015A9A"/>
    <w:rsid w:val="00016869"/>
    <w:rsid w:val="0001687B"/>
    <w:rsid w:val="0001732B"/>
    <w:rsid w:val="00017503"/>
    <w:rsid w:val="00017E43"/>
    <w:rsid w:val="00017F66"/>
    <w:rsid w:val="00020BB4"/>
    <w:rsid w:val="000240E8"/>
    <w:rsid w:val="000241F0"/>
    <w:rsid w:val="00024985"/>
    <w:rsid w:val="000251D7"/>
    <w:rsid w:val="0002568C"/>
    <w:rsid w:val="0002641C"/>
    <w:rsid w:val="000271CE"/>
    <w:rsid w:val="000277C2"/>
    <w:rsid w:val="00027DAD"/>
    <w:rsid w:val="00031C6F"/>
    <w:rsid w:val="00033C5A"/>
    <w:rsid w:val="00033F37"/>
    <w:rsid w:val="000345E8"/>
    <w:rsid w:val="000347A3"/>
    <w:rsid w:val="00034F2C"/>
    <w:rsid w:val="00035267"/>
    <w:rsid w:val="00036843"/>
    <w:rsid w:val="00037E90"/>
    <w:rsid w:val="00037F73"/>
    <w:rsid w:val="00040297"/>
    <w:rsid w:val="000409C1"/>
    <w:rsid w:val="00040D1C"/>
    <w:rsid w:val="00040E7E"/>
    <w:rsid w:val="0004187C"/>
    <w:rsid w:val="000423E1"/>
    <w:rsid w:val="000438E1"/>
    <w:rsid w:val="00044211"/>
    <w:rsid w:val="00044B87"/>
    <w:rsid w:val="00045D50"/>
    <w:rsid w:val="00045ED9"/>
    <w:rsid w:val="000463D0"/>
    <w:rsid w:val="00047145"/>
    <w:rsid w:val="00047D53"/>
    <w:rsid w:val="00047F76"/>
    <w:rsid w:val="00053322"/>
    <w:rsid w:val="00053AD6"/>
    <w:rsid w:val="00054657"/>
    <w:rsid w:val="00054D60"/>
    <w:rsid w:val="00055E3C"/>
    <w:rsid w:val="00056626"/>
    <w:rsid w:val="00056A30"/>
    <w:rsid w:val="00061A1C"/>
    <w:rsid w:val="00061C27"/>
    <w:rsid w:val="000628E9"/>
    <w:rsid w:val="0006310F"/>
    <w:rsid w:val="00063CCB"/>
    <w:rsid w:val="00064214"/>
    <w:rsid w:val="000647B0"/>
    <w:rsid w:val="000653F2"/>
    <w:rsid w:val="00066F76"/>
    <w:rsid w:val="00067DE3"/>
    <w:rsid w:val="00070171"/>
    <w:rsid w:val="00070B33"/>
    <w:rsid w:val="000714A9"/>
    <w:rsid w:val="00071E2E"/>
    <w:rsid w:val="00072669"/>
    <w:rsid w:val="00073987"/>
    <w:rsid w:val="000744BE"/>
    <w:rsid w:val="000775A7"/>
    <w:rsid w:val="00077778"/>
    <w:rsid w:val="000779E5"/>
    <w:rsid w:val="00080D20"/>
    <w:rsid w:val="00081071"/>
    <w:rsid w:val="000817B9"/>
    <w:rsid w:val="00081B3F"/>
    <w:rsid w:val="0008254F"/>
    <w:rsid w:val="00082BB1"/>
    <w:rsid w:val="00083A2E"/>
    <w:rsid w:val="000843DD"/>
    <w:rsid w:val="000851B3"/>
    <w:rsid w:val="000864D3"/>
    <w:rsid w:val="00086B6E"/>
    <w:rsid w:val="00087ABD"/>
    <w:rsid w:val="00087D87"/>
    <w:rsid w:val="000902A4"/>
    <w:rsid w:val="00091523"/>
    <w:rsid w:val="00091E3D"/>
    <w:rsid w:val="0009516D"/>
    <w:rsid w:val="00095564"/>
    <w:rsid w:val="00097037"/>
    <w:rsid w:val="00097964"/>
    <w:rsid w:val="000A0790"/>
    <w:rsid w:val="000A0BC0"/>
    <w:rsid w:val="000A2D59"/>
    <w:rsid w:val="000A3084"/>
    <w:rsid w:val="000A3923"/>
    <w:rsid w:val="000A3B29"/>
    <w:rsid w:val="000A77C2"/>
    <w:rsid w:val="000B03BD"/>
    <w:rsid w:val="000B0564"/>
    <w:rsid w:val="000B0B3D"/>
    <w:rsid w:val="000B378A"/>
    <w:rsid w:val="000B3DB4"/>
    <w:rsid w:val="000B466E"/>
    <w:rsid w:val="000B4EDD"/>
    <w:rsid w:val="000B5BBC"/>
    <w:rsid w:val="000B5BF1"/>
    <w:rsid w:val="000B6767"/>
    <w:rsid w:val="000B7C55"/>
    <w:rsid w:val="000C2946"/>
    <w:rsid w:val="000C2E9E"/>
    <w:rsid w:val="000C345C"/>
    <w:rsid w:val="000C394B"/>
    <w:rsid w:val="000C3AB6"/>
    <w:rsid w:val="000C5134"/>
    <w:rsid w:val="000C522E"/>
    <w:rsid w:val="000C561E"/>
    <w:rsid w:val="000C6D7A"/>
    <w:rsid w:val="000D143A"/>
    <w:rsid w:val="000D1521"/>
    <w:rsid w:val="000D1C75"/>
    <w:rsid w:val="000D2C47"/>
    <w:rsid w:val="000D2E16"/>
    <w:rsid w:val="000D2F8E"/>
    <w:rsid w:val="000D3D28"/>
    <w:rsid w:val="000D4CD9"/>
    <w:rsid w:val="000D50FA"/>
    <w:rsid w:val="000D639B"/>
    <w:rsid w:val="000D7292"/>
    <w:rsid w:val="000E06BA"/>
    <w:rsid w:val="000E08F1"/>
    <w:rsid w:val="000E3420"/>
    <w:rsid w:val="000E3C2A"/>
    <w:rsid w:val="000E4B97"/>
    <w:rsid w:val="000E5FCE"/>
    <w:rsid w:val="000E6434"/>
    <w:rsid w:val="000E774C"/>
    <w:rsid w:val="000E7B92"/>
    <w:rsid w:val="000E7DB4"/>
    <w:rsid w:val="000F0315"/>
    <w:rsid w:val="000F0527"/>
    <w:rsid w:val="000F0993"/>
    <w:rsid w:val="000F1A5C"/>
    <w:rsid w:val="000F35B3"/>
    <w:rsid w:val="000F35E3"/>
    <w:rsid w:val="000F40D8"/>
    <w:rsid w:val="000F4E8E"/>
    <w:rsid w:val="000F4E95"/>
    <w:rsid w:val="000F5251"/>
    <w:rsid w:val="000F54F4"/>
    <w:rsid w:val="000F5E1F"/>
    <w:rsid w:val="000F708B"/>
    <w:rsid w:val="000F7184"/>
    <w:rsid w:val="000F724B"/>
    <w:rsid w:val="00100B9A"/>
    <w:rsid w:val="00101721"/>
    <w:rsid w:val="001046B5"/>
    <w:rsid w:val="00104F7D"/>
    <w:rsid w:val="00105999"/>
    <w:rsid w:val="00105FAB"/>
    <w:rsid w:val="00106448"/>
    <w:rsid w:val="0010683D"/>
    <w:rsid w:val="001076C3"/>
    <w:rsid w:val="00110791"/>
    <w:rsid w:val="001142A5"/>
    <w:rsid w:val="00114B2D"/>
    <w:rsid w:val="001161C9"/>
    <w:rsid w:val="00117719"/>
    <w:rsid w:val="0011779D"/>
    <w:rsid w:val="0012009C"/>
    <w:rsid w:val="001209A0"/>
    <w:rsid w:val="001213C2"/>
    <w:rsid w:val="001222DB"/>
    <w:rsid w:val="00122B81"/>
    <w:rsid w:val="00122D19"/>
    <w:rsid w:val="0012416B"/>
    <w:rsid w:val="001253E0"/>
    <w:rsid w:val="00125F61"/>
    <w:rsid w:val="00126074"/>
    <w:rsid w:val="00127649"/>
    <w:rsid w:val="001300AD"/>
    <w:rsid w:val="00130439"/>
    <w:rsid w:val="00130C4A"/>
    <w:rsid w:val="00130E9F"/>
    <w:rsid w:val="0013191A"/>
    <w:rsid w:val="00131AFA"/>
    <w:rsid w:val="00132EDE"/>
    <w:rsid w:val="00135F0F"/>
    <w:rsid w:val="001365CE"/>
    <w:rsid w:val="001402F6"/>
    <w:rsid w:val="001408F3"/>
    <w:rsid w:val="001412B9"/>
    <w:rsid w:val="001419CC"/>
    <w:rsid w:val="00142022"/>
    <w:rsid w:val="001422B2"/>
    <w:rsid w:val="001423AB"/>
    <w:rsid w:val="00142E95"/>
    <w:rsid w:val="001431E2"/>
    <w:rsid w:val="001434FB"/>
    <w:rsid w:val="001439C2"/>
    <w:rsid w:val="00143A3C"/>
    <w:rsid w:val="001441C6"/>
    <w:rsid w:val="001448D2"/>
    <w:rsid w:val="00145773"/>
    <w:rsid w:val="00145C9F"/>
    <w:rsid w:val="00145FCF"/>
    <w:rsid w:val="00146147"/>
    <w:rsid w:val="001462CD"/>
    <w:rsid w:val="0015022B"/>
    <w:rsid w:val="0015029A"/>
    <w:rsid w:val="0015053F"/>
    <w:rsid w:val="001523DA"/>
    <w:rsid w:val="00152932"/>
    <w:rsid w:val="00152993"/>
    <w:rsid w:val="00153588"/>
    <w:rsid w:val="0015494B"/>
    <w:rsid w:val="0015542F"/>
    <w:rsid w:val="00156178"/>
    <w:rsid w:val="00157CEC"/>
    <w:rsid w:val="00160B5C"/>
    <w:rsid w:val="001613E1"/>
    <w:rsid w:val="00161CCC"/>
    <w:rsid w:val="00162BDB"/>
    <w:rsid w:val="00162E35"/>
    <w:rsid w:val="00164941"/>
    <w:rsid w:val="00166286"/>
    <w:rsid w:val="001665DF"/>
    <w:rsid w:val="00170350"/>
    <w:rsid w:val="001707EB"/>
    <w:rsid w:val="0017146B"/>
    <w:rsid w:val="00171BB7"/>
    <w:rsid w:val="00171DDB"/>
    <w:rsid w:val="00172819"/>
    <w:rsid w:val="0017435B"/>
    <w:rsid w:val="00175147"/>
    <w:rsid w:val="001760C4"/>
    <w:rsid w:val="0017685E"/>
    <w:rsid w:val="00176C6A"/>
    <w:rsid w:val="00177462"/>
    <w:rsid w:val="0018226D"/>
    <w:rsid w:val="00182AF2"/>
    <w:rsid w:val="0018397E"/>
    <w:rsid w:val="0018445D"/>
    <w:rsid w:val="00184F0C"/>
    <w:rsid w:val="00186213"/>
    <w:rsid w:val="0018697B"/>
    <w:rsid w:val="001872F0"/>
    <w:rsid w:val="00190C2E"/>
    <w:rsid w:val="0019142C"/>
    <w:rsid w:val="00191CF2"/>
    <w:rsid w:val="00192EE9"/>
    <w:rsid w:val="001939D8"/>
    <w:rsid w:val="0019438F"/>
    <w:rsid w:val="00194BDF"/>
    <w:rsid w:val="001950B8"/>
    <w:rsid w:val="001955BD"/>
    <w:rsid w:val="001957D0"/>
    <w:rsid w:val="001A0AF1"/>
    <w:rsid w:val="001A17F7"/>
    <w:rsid w:val="001A1F1F"/>
    <w:rsid w:val="001A24AF"/>
    <w:rsid w:val="001A2C72"/>
    <w:rsid w:val="001A38ED"/>
    <w:rsid w:val="001A415A"/>
    <w:rsid w:val="001A429E"/>
    <w:rsid w:val="001A4AE0"/>
    <w:rsid w:val="001A5368"/>
    <w:rsid w:val="001A5707"/>
    <w:rsid w:val="001A6388"/>
    <w:rsid w:val="001A78C8"/>
    <w:rsid w:val="001A796E"/>
    <w:rsid w:val="001A7D95"/>
    <w:rsid w:val="001B09E3"/>
    <w:rsid w:val="001B1BF2"/>
    <w:rsid w:val="001B2438"/>
    <w:rsid w:val="001B2AD9"/>
    <w:rsid w:val="001B42C4"/>
    <w:rsid w:val="001B4D3C"/>
    <w:rsid w:val="001B6FA7"/>
    <w:rsid w:val="001B7E06"/>
    <w:rsid w:val="001C056C"/>
    <w:rsid w:val="001C0A14"/>
    <w:rsid w:val="001C105D"/>
    <w:rsid w:val="001C1D5E"/>
    <w:rsid w:val="001C2BB5"/>
    <w:rsid w:val="001C41D6"/>
    <w:rsid w:val="001C5AA4"/>
    <w:rsid w:val="001C62BA"/>
    <w:rsid w:val="001C6C0A"/>
    <w:rsid w:val="001C6F81"/>
    <w:rsid w:val="001D0F2D"/>
    <w:rsid w:val="001D1357"/>
    <w:rsid w:val="001D1704"/>
    <w:rsid w:val="001D1987"/>
    <w:rsid w:val="001D1DEA"/>
    <w:rsid w:val="001D3469"/>
    <w:rsid w:val="001D4458"/>
    <w:rsid w:val="001D5187"/>
    <w:rsid w:val="001D5C88"/>
    <w:rsid w:val="001D64CB"/>
    <w:rsid w:val="001D6932"/>
    <w:rsid w:val="001D6F41"/>
    <w:rsid w:val="001D6F93"/>
    <w:rsid w:val="001E0E39"/>
    <w:rsid w:val="001E17FE"/>
    <w:rsid w:val="001E1B11"/>
    <w:rsid w:val="001E1B12"/>
    <w:rsid w:val="001E30C4"/>
    <w:rsid w:val="001E381E"/>
    <w:rsid w:val="001E3E79"/>
    <w:rsid w:val="001E3FE4"/>
    <w:rsid w:val="001E5650"/>
    <w:rsid w:val="001E5FE9"/>
    <w:rsid w:val="001F1235"/>
    <w:rsid w:val="001F1A21"/>
    <w:rsid w:val="001F2456"/>
    <w:rsid w:val="001F247A"/>
    <w:rsid w:val="001F2D54"/>
    <w:rsid w:val="001F30F5"/>
    <w:rsid w:val="001F64B6"/>
    <w:rsid w:val="001F6781"/>
    <w:rsid w:val="001F6E56"/>
    <w:rsid w:val="001F776C"/>
    <w:rsid w:val="002004A7"/>
    <w:rsid w:val="00201275"/>
    <w:rsid w:val="0020141C"/>
    <w:rsid w:val="00203CCC"/>
    <w:rsid w:val="00206E8D"/>
    <w:rsid w:val="00207327"/>
    <w:rsid w:val="00207A7A"/>
    <w:rsid w:val="0021304C"/>
    <w:rsid w:val="00213509"/>
    <w:rsid w:val="00213FB7"/>
    <w:rsid w:val="0021584E"/>
    <w:rsid w:val="00215E65"/>
    <w:rsid w:val="0021614B"/>
    <w:rsid w:val="002171EE"/>
    <w:rsid w:val="002175FD"/>
    <w:rsid w:val="002179AA"/>
    <w:rsid w:val="00217A0A"/>
    <w:rsid w:val="00217F5D"/>
    <w:rsid w:val="00221202"/>
    <w:rsid w:val="00221E57"/>
    <w:rsid w:val="00222F89"/>
    <w:rsid w:val="0022354A"/>
    <w:rsid w:val="00223783"/>
    <w:rsid w:val="0022448F"/>
    <w:rsid w:val="002265B4"/>
    <w:rsid w:val="00227060"/>
    <w:rsid w:val="00227825"/>
    <w:rsid w:val="00227C9D"/>
    <w:rsid w:val="00230194"/>
    <w:rsid w:val="00232977"/>
    <w:rsid w:val="00233031"/>
    <w:rsid w:val="002349AE"/>
    <w:rsid w:val="00234A45"/>
    <w:rsid w:val="002354D9"/>
    <w:rsid w:val="0023595B"/>
    <w:rsid w:val="00235A51"/>
    <w:rsid w:val="00235BFD"/>
    <w:rsid w:val="00236194"/>
    <w:rsid w:val="00236247"/>
    <w:rsid w:val="00241F57"/>
    <w:rsid w:val="00242337"/>
    <w:rsid w:val="002429CC"/>
    <w:rsid w:val="002429E3"/>
    <w:rsid w:val="00242A62"/>
    <w:rsid w:val="00243327"/>
    <w:rsid w:val="00243A27"/>
    <w:rsid w:val="00243C88"/>
    <w:rsid w:val="0024602A"/>
    <w:rsid w:val="00246616"/>
    <w:rsid w:val="0024688C"/>
    <w:rsid w:val="00247CF8"/>
    <w:rsid w:val="00250596"/>
    <w:rsid w:val="00250678"/>
    <w:rsid w:val="002517AF"/>
    <w:rsid w:val="002535E4"/>
    <w:rsid w:val="002539E5"/>
    <w:rsid w:val="002548EA"/>
    <w:rsid w:val="0025518C"/>
    <w:rsid w:val="002556EB"/>
    <w:rsid w:val="00256D10"/>
    <w:rsid w:val="002575F4"/>
    <w:rsid w:val="00260737"/>
    <w:rsid w:val="00260962"/>
    <w:rsid w:val="00261CDE"/>
    <w:rsid w:val="0026277B"/>
    <w:rsid w:val="00262840"/>
    <w:rsid w:val="0026297C"/>
    <w:rsid w:val="002636D8"/>
    <w:rsid w:val="0026465F"/>
    <w:rsid w:val="00264C0F"/>
    <w:rsid w:val="00265448"/>
    <w:rsid w:val="00266299"/>
    <w:rsid w:val="00267315"/>
    <w:rsid w:val="0026782C"/>
    <w:rsid w:val="00267C95"/>
    <w:rsid w:val="0027129D"/>
    <w:rsid w:val="00271613"/>
    <w:rsid w:val="00271D49"/>
    <w:rsid w:val="002722AF"/>
    <w:rsid w:val="002725E4"/>
    <w:rsid w:val="002730C0"/>
    <w:rsid w:val="00274031"/>
    <w:rsid w:val="0027558D"/>
    <w:rsid w:val="00276709"/>
    <w:rsid w:val="002770D3"/>
    <w:rsid w:val="00277204"/>
    <w:rsid w:val="0028266E"/>
    <w:rsid w:val="00283F1E"/>
    <w:rsid w:val="0028590F"/>
    <w:rsid w:val="00286411"/>
    <w:rsid w:val="00286DC4"/>
    <w:rsid w:val="00287526"/>
    <w:rsid w:val="002875E1"/>
    <w:rsid w:val="00287AF5"/>
    <w:rsid w:val="0029111E"/>
    <w:rsid w:val="00292DC3"/>
    <w:rsid w:val="00294156"/>
    <w:rsid w:val="0029445C"/>
    <w:rsid w:val="00294D10"/>
    <w:rsid w:val="00295B41"/>
    <w:rsid w:val="00296058"/>
    <w:rsid w:val="00297212"/>
    <w:rsid w:val="002A0F6B"/>
    <w:rsid w:val="002A1355"/>
    <w:rsid w:val="002A152F"/>
    <w:rsid w:val="002A1C33"/>
    <w:rsid w:val="002A28E9"/>
    <w:rsid w:val="002A4E57"/>
    <w:rsid w:val="002A5CF9"/>
    <w:rsid w:val="002B0474"/>
    <w:rsid w:val="002B2664"/>
    <w:rsid w:val="002B2AAE"/>
    <w:rsid w:val="002B4012"/>
    <w:rsid w:val="002B463B"/>
    <w:rsid w:val="002B5177"/>
    <w:rsid w:val="002B5C1C"/>
    <w:rsid w:val="002B5E0E"/>
    <w:rsid w:val="002C08C1"/>
    <w:rsid w:val="002C2FBB"/>
    <w:rsid w:val="002C3A30"/>
    <w:rsid w:val="002C5075"/>
    <w:rsid w:val="002C56BE"/>
    <w:rsid w:val="002C61A6"/>
    <w:rsid w:val="002C61C1"/>
    <w:rsid w:val="002C628C"/>
    <w:rsid w:val="002C6972"/>
    <w:rsid w:val="002C7368"/>
    <w:rsid w:val="002C73F9"/>
    <w:rsid w:val="002C7662"/>
    <w:rsid w:val="002C79F5"/>
    <w:rsid w:val="002D03F1"/>
    <w:rsid w:val="002D184B"/>
    <w:rsid w:val="002D1CDE"/>
    <w:rsid w:val="002D3B7C"/>
    <w:rsid w:val="002D513D"/>
    <w:rsid w:val="002D5B99"/>
    <w:rsid w:val="002D64C0"/>
    <w:rsid w:val="002D6934"/>
    <w:rsid w:val="002E07BD"/>
    <w:rsid w:val="002E0E82"/>
    <w:rsid w:val="002E1ABB"/>
    <w:rsid w:val="002E1D0E"/>
    <w:rsid w:val="002E2AE5"/>
    <w:rsid w:val="002E58FE"/>
    <w:rsid w:val="002F3D2B"/>
    <w:rsid w:val="002F52F7"/>
    <w:rsid w:val="002F5A4F"/>
    <w:rsid w:val="002F607B"/>
    <w:rsid w:val="002F6217"/>
    <w:rsid w:val="002F64F1"/>
    <w:rsid w:val="002F719E"/>
    <w:rsid w:val="003003DC"/>
    <w:rsid w:val="0030081D"/>
    <w:rsid w:val="003029B6"/>
    <w:rsid w:val="00305797"/>
    <w:rsid w:val="0030583B"/>
    <w:rsid w:val="00305A8E"/>
    <w:rsid w:val="003062AF"/>
    <w:rsid w:val="0030665B"/>
    <w:rsid w:val="0030697D"/>
    <w:rsid w:val="0030698D"/>
    <w:rsid w:val="0030702D"/>
    <w:rsid w:val="0030757B"/>
    <w:rsid w:val="0031033B"/>
    <w:rsid w:val="0031048C"/>
    <w:rsid w:val="0031055B"/>
    <w:rsid w:val="00310BED"/>
    <w:rsid w:val="0031130E"/>
    <w:rsid w:val="003114AD"/>
    <w:rsid w:val="003116D0"/>
    <w:rsid w:val="003117F0"/>
    <w:rsid w:val="003117F8"/>
    <w:rsid w:val="00311F0F"/>
    <w:rsid w:val="003122FF"/>
    <w:rsid w:val="0031291A"/>
    <w:rsid w:val="00313F4F"/>
    <w:rsid w:val="00314327"/>
    <w:rsid w:val="00314CCB"/>
    <w:rsid w:val="00315450"/>
    <w:rsid w:val="00315DFC"/>
    <w:rsid w:val="003176BF"/>
    <w:rsid w:val="00317C68"/>
    <w:rsid w:val="0032133C"/>
    <w:rsid w:val="00321677"/>
    <w:rsid w:val="003219C2"/>
    <w:rsid w:val="00321FA6"/>
    <w:rsid w:val="0032233D"/>
    <w:rsid w:val="00322D02"/>
    <w:rsid w:val="00322F36"/>
    <w:rsid w:val="0032302B"/>
    <w:rsid w:val="00323042"/>
    <w:rsid w:val="00325008"/>
    <w:rsid w:val="003257CC"/>
    <w:rsid w:val="00326400"/>
    <w:rsid w:val="0032642C"/>
    <w:rsid w:val="0033001B"/>
    <w:rsid w:val="003305E6"/>
    <w:rsid w:val="0033138B"/>
    <w:rsid w:val="003326DF"/>
    <w:rsid w:val="0033365A"/>
    <w:rsid w:val="00333891"/>
    <w:rsid w:val="00334837"/>
    <w:rsid w:val="00335314"/>
    <w:rsid w:val="00335663"/>
    <w:rsid w:val="003357FA"/>
    <w:rsid w:val="003360DF"/>
    <w:rsid w:val="00336F3E"/>
    <w:rsid w:val="00340C4D"/>
    <w:rsid w:val="00340C78"/>
    <w:rsid w:val="0034142A"/>
    <w:rsid w:val="00342991"/>
    <w:rsid w:val="003430E5"/>
    <w:rsid w:val="0034322D"/>
    <w:rsid w:val="003434D1"/>
    <w:rsid w:val="00345C16"/>
    <w:rsid w:val="00346294"/>
    <w:rsid w:val="00347015"/>
    <w:rsid w:val="003472B6"/>
    <w:rsid w:val="0035065B"/>
    <w:rsid w:val="00351BCD"/>
    <w:rsid w:val="00352A29"/>
    <w:rsid w:val="00352A2F"/>
    <w:rsid w:val="00352E9D"/>
    <w:rsid w:val="00354F01"/>
    <w:rsid w:val="003553D7"/>
    <w:rsid w:val="003562CE"/>
    <w:rsid w:val="00356887"/>
    <w:rsid w:val="00357414"/>
    <w:rsid w:val="003600A2"/>
    <w:rsid w:val="00362DBD"/>
    <w:rsid w:val="00363FB9"/>
    <w:rsid w:val="0036475D"/>
    <w:rsid w:val="00365540"/>
    <w:rsid w:val="003664AC"/>
    <w:rsid w:val="00366C64"/>
    <w:rsid w:val="00366DB9"/>
    <w:rsid w:val="0037100A"/>
    <w:rsid w:val="00372324"/>
    <w:rsid w:val="00372635"/>
    <w:rsid w:val="00374C47"/>
    <w:rsid w:val="00374FDC"/>
    <w:rsid w:val="003764CE"/>
    <w:rsid w:val="0037676A"/>
    <w:rsid w:val="003769E8"/>
    <w:rsid w:val="0037795D"/>
    <w:rsid w:val="00377DEA"/>
    <w:rsid w:val="00380248"/>
    <w:rsid w:val="003807F3"/>
    <w:rsid w:val="00381381"/>
    <w:rsid w:val="00381386"/>
    <w:rsid w:val="00382A02"/>
    <w:rsid w:val="0038390E"/>
    <w:rsid w:val="00383A8E"/>
    <w:rsid w:val="00384667"/>
    <w:rsid w:val="00384C2E"/>
    <w:rsid w:val="00385425"/>
    <w:rsid w:val="0038543C"/>
    <w:rsid w:val="00385743"/>
    <w:rsid w:val="00386BB7"/>
    <w:rsid w:val="00387F2D"/>
    <w:rsid w:val="00390127"/>
    <w:rsid w:val="00390F18"/>
    <w:rsid w:val="00391A9E"/>
    <w:rsid w:val="00392F10"/>
    <w:rsid w:val="00392FF2"/>
    <w:rsid w:val="003939BD"/>
    <w:rsid w:val="00394D72"/>
    <w:rsid w:val="00394F1C"/>
    <w:rsid w:val="003968FB"/>
    <w:rsid w:val="00397F8C"/>
    <w:rsid w:val="003A04B3"/>
    <w:rsid w:val="003A061D"/>
    <w:rsid w:val="003A06A0"/>
    <w:rsid w:val="003A190E"/>
    <w:rsid w:val="003A19A7"/>
    <w:rsid w:val="003A1FBD"/>
    <w:rsid w:val="003A2440"/>
    <w:rsid w:val="003A3BD9"/>
    <w:rsid w:val="003A3F58"/>
    <w:rsid w:val="003A453F"/>
    <w:rsid w:val="003A4BFA"/>
    <w:rsid w:val="003A4EC0"/>
    <w:rsid w:val="003A4F0E"/>
    <w:rsid w:val="003A5573"/>
    <w:rsid w:val="003A5DA8"/>
    <w:rsid w:val="003A5EDE"/>
    <w:rsid w:val="003A7EEA"/>
    <w:rsid w:val="003B04E5"/>
    <w:rsid w:val="003B0C08"/>
    <w:rsid w:val="003B10E1"/>
    <w:rsid w:val="003B1A37"/>
    <w:rsid w:val="003B223C"/>
    <w:rsid w:val="003B2336"/>
    <w:rsid w:val="003B3142"/>
    <w:rsid w:val="003B3931"/>
    <w:rsid w:val="003B5A20"/>
    <w:rsid w:val="003B799A"/>
    <w:rsid w:val="003C05DF"/>
    <w:rsid w:val="003C0DD0"/>
    <w:rsid w:val="003C185A"/>
    <w:rsid w:val="003C4E97"/>
    <w:rsid w:val="003C52D0"/>
    <w:rsid w:val="003C599A"/>
    <w:rsid w:val="003C6C20"/>
    <w:rsid w:val="003C6D24"/>
    <w:rsid w:val="003C70D8"/>
    <w:rsid w:val="003C74AD"/>
    <w:rsid w:val="003C7862"/>
    <w:rsid w:val="003D03A0"/>
    <w:rsid w:val="003D12AD"/>
    <w:rsid w:val="003D28C2"/>
    <w:rsid w:val="003D2AF0"/>
    <w:rsid w:val="003D44FD"/>
    <w:rsid w:val="003D4FE4"/>
    <w:rsid w:val="003D6022"/>
    <w:rsid w:val="003D6A37"/>
    <w:rsid w:val="003D707A"/>
    <w:rsid w:val="003D7748"/>
    <w:rsid w:val="003E0B22"/>
    <w:rsid w:val="003E0BF3"/>
    <w:rsid w:val="003E1533"/>
    <w:rsid w:val="003E2025"/>
    <w:rsid w:val="003E43DA"/>
    <w:rsid w:val="003E44BE"/>
    <w:rsid w:val="003E4EC7"/>
    <w:rsid w:val="003E789F"/>
    <w:rsid w:val="003F103A"/>
    <w:rsid w:val="003F1568"/>
    <w:rsid w:val="003F1657"/>
    <w:rsid w:val="003F2658"/>
    <w:rsid w:val="003F339C"/>
    <w:rsid w:val="003F3C39"/>
    <w:rsid w:val="003F5876"/>
    <w:rsid w:val="003F6695"/>
    <w:rsid w:val="003F7060"/>
    <w:rsid w:val="003F7CC7"/>
    <w:rsid w:val="00400550"/>
    <w:rsid w:val="004016AA"/>
    <w:rsid w:val="004018E6"/>
    <w:rsid w:val="00402E38"/>
    <w:rsid w:val="00402FA0"/>
    <w:rsid w:val="004030C0"/>
    <w:rsid w:val="00403B05"/>
    <w:rsid w:val="00404266"/>
    <w:rsid w:val="004049D9"/>
    <w:rsid w:val="00404F60"/>
    <w:rsid w:val="00405516"/>
    <w:rsid w:val="004056A5"/>
    <w:rsid w:val="00406161"/>
    <w:rsid w:val="00406284"/>
    <w:rsid w:val="0040634B"/>
    <w:rsid w:val="00407AC5"/>
    <w:rsid w:val="00410A1C"/>
    <w:rsid w:val="0041184A"/>
    <w:rsid w:val="00412C9E"/>
    <w:rsid w:val="00414492"/>
    <w:rsid w:val="00415958"/>
    <w:rsid w:val="00416929"/>
    <w:rsid w:val="00416A32"/>
    <w:rsid w:val="00420E50"/>
    <w:rsid w:val="0042168A"/>
    <w:rsid w:val="00423400"/>
    <w:rsid w:val="0042353E"/>
    <w:rsid w:val="0042359B"/>
    <w:rsid w:val="00423F08"/>
    <w:rsid w:val="00424ABE"/>
    <w:rsid w:val="00425397"/>
    <w:rsid w:val="00426E6E"/>
    <w:rsid w:val="004274BB"/>
    <w:rsid w:val="004315BE"/>
    <w:rsid w:val="0043381E"/>
    <w:rsid w:val="00433AEA"/>
    <w:rsid w:val="004343CD"/>
    <w:rsid w:val="00434482"/>
    <w:rsid w:val="004362AC"/>
    <w:rsid w:val="00440650"/>
    <w:rsid w:val="00440A1B"/>
    <w:rsid w:val="0044259E"/>
    <w:rsid w:val="00442FAF"/>
    <w:rsid w:val="004433DE"/>
    <w:rsid w:val="004439A4"/>
    <w:rsid w:val="00443F7F"/>
    <w:rsid w:val="004442E9"/>
    <w:rsid w:val="00445947"/>
    <w:rsid w:val="00445C3F"/>
    <w:rsid w:val="00445EFF"/>
    <w:rsid w:val="004465FC"/>
    <w:rsid w:val="00446FCF"/>
    <w:rsid w:val="00447ED7"/>
    <w:rsid w:val="00450B9E"/>
    <w:rsid w:val="00450EDA"/>
    <w:rsid w:val="00450EF2"/>
    <w:rsid w:val="00451A58"/>
    <w:rsid w:val="00451B3D"/>
    <w:rsid w:val="00452F5B"/>
    <w:rsid w:val="004538B6"/>
    <w:rsid w:val="00457C40"/>
    <w:rsid w:val="00457E53"/>
    <w:rsid w:val="0046048A"/>
    <w:rsid w:val="00460FC1"/>
    <w:rsid w:val="004622AB"/>
    <w:rsid w:val="004625CA"/>
    <w:rsid w:val="00463D67"/>
    <w:rsid w:val="00465484"/>
    <w:rsid w:val="004663A4"/>
    <w:rsid w:val="00466455"/>
    <w:rsid w:val="004677BD"/>
    <w:rsid w:val="0047012D"/>
    <w:rsid w:val="004704F2"/>
    <w:rsid w:val="00470BE2"/>
    <w:rsid w:val="00472B71"/>
    <w:rsid w:val="00473400"/>
    <w:rsid w:val="004737C1"/>
    <w:rsid w:val="00473B0A"/>
    <w:rsid w:val="0047560B"/>
    <w:rsid w:val="00475A24"/>
    <w:rsid w:val="00475E07"/>
    <w:rsid w:val="00477730"/>
    <w:rsid w:val="00477B24"/>
    <w:rsid w:val="00477E59"/>
    <w:rsid w:val="00477F43"/>
    <w:rsid w:val="00480145"/>
    <w:rsid w:val="0048077B"/>
    <w:rsid w:val="004809C7"/>
    <w:rsid w:val="0048309E"/>
    <w:rsid w:val="00483333"/>
    <w:rsid w:val="00483418"/>
    <w:rsid w:val="0048653A"/>
    <w:rsid w:val="00486FD6"/>
    <w:rsid w:val="00487241"/>
    <w:rsid w:val="00487A3A"/>
    <w:rsid w:val="00487A92"/>
    <w:rsid w:val="004903E8"/>
    <w:rsid w:val="00490C6B"/>
    <w:rsid w:val="004910B0"/>
    <w:rsid w:val="004927BB"/>
    <w:rsid w:val="004929DF"/>
    <w:rsid w:val="00492B0E"/>
    <w:rsid w:val="00493D34"/>
    <w:rsid w:val="00493FB4"/>
    <w:rsid w:val="00494046"/>
    <w:rsid w:val="0049437C"/>
    <w:rsid w:val="00495840"/>
    <w:rsid w:val="0049791D"/>
    <w:rsid w:val="00497A7A"/>
    <w:rsid w:val="00497EFB"/>
    <w:rsid w:val="004A01D1"/>
    <w:rsid w:val="004A0405"/>
    <w:rsid w:val="004A071E"/>
    <w:rsid w:val="004A0EFA"/>
    <w:rsid w:val="004A2408"/>
    <w:rsid w:val="004A2B0C"/>
    <w:rsid w:val="004A2B5C"/>
    <w:rsid w:val="004A2B81"/>
    <w:rsid w:val="004A2D03"/>
    <w:rsid w:val="004A2E6C"/>
    <w:rsid w:val="004A31C4"/>
    <w:rsid w:val="004A34D9"/>
    <w:rsid w:val="004A3625"/>
    <w:rsid w:val="004A3F0F"/>
    <w:rsid w:val="004A4AB6"/>
    <w:rsid w:val="004A4BEF"/>
    <w:rsid w:val="004A4D59"/>
    <w:rsid w:val="004A6124"/>
    <w:rsid w:val="004A6564"/>
    <w:rsid w:val="004A6B13"/>
    <w:rsid w:val="004A6B17"/>
    <w:rsid w:val="004A71C7"/>
    <w:rsid w:val="004A7865"/>
    <w:rsid w:val="004B03A1"/>
    <w:rsid w:val="004B052E"/>
    <w:rsid w:val="004B0830"/>
    <w:rsid w:val="004B0B82"/>
    <w:rsid w:val="004B170E"/>
    <w:rsid w:val="004B2C41"/>
    <w:rsid w:val="004B44B7"/>
    <w:rsid w:val="004B5166"/>
    <w:rsid w:val="004B5493"/>
    <w:rsid w:val="004B59A9"/>
    <w:rsid w:val="004B5F9B"/>
    <w:rsid w:val="004B7F90"/>
    <w:rsid w:val="004C0182"/>
    <w:rsid w:val="004C06E4"/>
    <w:rsid w:val="004C1F55"/>
    <w:rsid w:val="004C2FE0"/>
    <w:rsid w:val="004C50D8"/>
    <w:rsid w:val="004C5AB0"/>
    <w:rsid w:val="004C7F1A"/>
    <w:rsid w:val="004D1725"/>
    <w:rsid w:val="004D29A8"/>
    <w:rsid w:val="004D3284"/>
    <w:rsid w:val="004D39E2"/>
    <w:rsid w:val="004D3A40"/>
    <w:rsid w:val="004D51A7"/>
    <w:rsid w:val="004D5F7C"/>
    <w:rsid w:val="004D61FB"/>
    <w:rsid w:val="004D630F"/>
    <w:rsid w:val="004E01AB"/>
    <w:rsid w:val="004E05E8"/>
    <w:rsid w:val="004E1534"/>
    <w:rsid w:val="004E1ED6"/>
    <w:rsid w:val="004E2CE2"/>
    <w:rsid w:val="004E31CD"/>
    <w:rsid w:val="004E3221"/>
    <w:rsid w:val="004E3EE5"/>
    <w:rsid w:val="004E489E"/>
    <w:rsid w:val="004E50EA"/>
    <w:rsid w:val="004E5829"/>
    <w:rsid w:val="004E6302"/>
    <w:rsid w:val="004F14D0"/>
    <w:rsid w:val="004F2465"/>
    <w:rsid w:val="004F2861"/>
    <w:rsid w:val="004F4056"/>
    <w:rsid w:val="004F45CD"/>
    <w:rsid w:val="004F54B5"/>
    <w:rsid w:val="004F5F71"/>
    <w:rsid w:val="00502D22"/>
    <w:rsid w:val="005033E0"/>
    <w:rsid w:val="0050417D"/>
    <w:rsid w:val="00506FE7"/>
    <w:rsid w:val="00511975"/>
    <w:rsid w:val="005129F4"/>
    <w:rsid w:val="00512BB8"/>
    <w:rsid w:val="00514C11"/>
    <w:rsid w:val="005155DD"/>
    <w:rsid w:val="00515AD2"/>
    <w:rsid w:val="00516CA7"/>
    <w:rsid w:val="005174ED"/>
    <w:rsid w:val="0052156B"/>
    <w:rsid w:val="005237A0"/>
    <w:rsid w:val="00523D5F"/>
    <w:rsid w:val="00524018"/>
    <w:rsid w:val="00525266"/>
    <w:rsid w:val="00525298"/>
    <w:rsid w:val="00525697"/>
    <w:rsid w:val="00533CDD"/>
    <w:rsid w:val="005344A2"/>
    <w:rsid w:val="005344AB"/>
    <w:rsid w:val="00534709"/>
    <w:rsid w:val="00534F74"/>
    <w:rsid w:val="00535694"/>
    <w:rsid w:val="00535804"/>
    <w:rsid w:val="00535A91"/>
    <w:rsid w:val="00536293"/>
    <w:rsid w:val="00536746"/>
    <w:rsid w:val="00536C24"/>
    <w:rsid w:val="00541CF0"/>
    <w:rsid w:val="00543046"/>
    <w:rsid w:val="00546C12"/>
    <w:rsid w:val="005472C9"/>
    <w:rsid w:val="00550276"/>
    <w:rsid w:val="00550A2E"/>
    <w:rsid w:val="00550AD0"/>
    <w:rsid w:val="00552756"/>
    <w:rsid w:val="005538AF"/>
    <w:rsid w:val="00554889"/>
    <w:rsid w:val="00554BCD"/>
    <w:rsid w:val="0055540D"/>
    <w:rsid w:val="005567B5"/>
    <w:rsid w:val="00556B0C"/>
    <w:rsid w:val="00561FC3"/>
    <w:rsid w:val="00562324"/>
    <w:rsid w:val="00564194"/>
    <w:rsid w:val="005647FA"/>
    <w:rsid w:val="00564F28"/>
    <w:rsid w:val="0056559B"/>
    <w:rsid w:val="00565948"/>
    <w:rsid w:val="00566056"/>
    <w:rsid w:val="005670F0"/>
    <w:rsid w:val="00573121"/>
    <w:rsid w:val="00573427"/>
    <w:rsid w:val="005736D1"/>
    <w:rsid w:val="0057426D"/>
    <w:rsid w:val="00575D0F"/>
    <w:rsid w:val="005762A3"/>
    <w:rsid w:val="00583767"/>
    <w:rsid w:val="00583E5B"/>
    <w:rsid w:val="00584832"/>
    <w:rsid w:val="00584F54"/>
    <w:rsid w:val="00585C73"/>
    <w:rsid w:val="00585FCC"/>
    <w:rsid w:val="00587AA5"/>
    <w:rsid w:val="00587D23"/>
    <w:rsid w:val="00590F79"/>
    <w:rsid w:val="005918E6"/>
    <w:rsid w:val="00592C87"/>
    <w:rsid w:val="00592D91"/>
    <w:rsid w:val="00593397"/>
    <w:rsid w:val="005948B1"/>
    <w:rsid w:val="0059538E"/>
    <w:rsid w:val="005961BD"/>
    <w:rsid w:val="005A0F89"/>
    <w:rsid w:val="005A104F"/>
    <w:rsid w:val="005A1133"/>
    <w:rsid w:val="005A1B2B"/>
    <w:rsid w:val="005A3A65"/>
    <w:rsid w:val="005A3CD3"/>
    <w:rsid w:val="005A4603"/>
    <w:rsid w:val="005A4850"/>
    <w:rsid w:val="005A568E"/>
    <w:rsid w:val="005A5B50"/>
    <w:rsid w:val="005A669F"/>
    <w:rsid w:val="005A6AD5"/>
    <w:rsid w:val="005A6C00"/>
    <w:rsid w:val="005A704F"/>
    <w:rsid w:val="005A7142"/>
    <w:rsid w:val="005B1A16"/>
    <w:rsid w:val="005B1F0F"/>
    <w:rsid w:val="005B2907"/>
    <w:rsid w:val="005B3189"/>
    <w:rsid w:val="005B50A5"/>
    <w:rsid w:val="005B5B72"/>
    <w:rsid w:val="005B7431"/>
    <w:rsid w:val="005B7982"/>
    <w:rsid w:val="005B7ACB"/>
    <w:rsid w:val="005C061E"/>
    <w:rsid w:val="005C08BD"/>
    <w:rsid w:val="005C0D0B"/>
    <w:rsid w:val="005C1129"/>
    <w:rsid w:val="005C1C18"/>
    <w:rsid w:val="005C2298"/>
    <w:rsid w:val="005C303E"/>
    <w:rsid w:val="005C394F"/>
    <w:rsid w:val="005C4286"/>
    <w:rsid w:val="005C58DB"/>
    <w:rsid w:val="005C7DF7"/>
    <w:rsid w:val="005D081A"/>
    <w:rsid w:val="005D2880"/>
    <w:rsid w:val="005D2B1C"/>
    <w:rsid w:val="005D3119"/>
    <w:rsid w:val="005D31AA"/>
    <w:rsid w:val="005D31EF"/>
    <w:rsid w:val="005D3DCB"/>
    <w:rsid w:val="005D53E6"/>
    <w:rsid w:val="005D59E8"/>
    <w:rsid w:val="005D5CEA"/>
    <w:rsid w:val="005D6BF5"/>
    <w:rsid w:val="005D7009"/>
    <w:rsid w:val="005D70B4"/>
    <w:rsid w:val="005D788D"/>
    <w:rsid w:val="005E0AFA"/>
    <w:rsid w:val="005E1309"/>
    <w:rsid w:val="005E17CE"/>
    <w:rsid w:val="005E1935"/>
    <w:rsid w:val="005E1BD0"/>
    <w:rsid w:val="005E1BDE"/>
    <w:rsid w:val="005E3B02"/>
    <w:rsid w:val="005E470F"/>
    <w:rsid w:val="005E4E2F"/>
    <w:rsid w:val="005E52A5"/>
    <w:rsid w:val="005E52AF"/>
    <w:rsid w:val="005E5423"/>
    <w:rsid w:val="005E57F9"/>
    <w:rsid w:val="005E745F"/>
    <w:rsid w:val="005E7EDD"/>
    <w:rsid w:val="005F0679"/>
    <w:rsid w:val="005F0682"/>
    <w:rsid w:val="005F0AC2"/>
    <w:rsid w:val="005F0CEC"/>
    <w:rsid w:val="005F13EC"/>
    <w:rsid w:val="005F14DF"/>
    <w:rsid w:val="005F23F1"/>
    <w:rsid w:val="005F2CD7"/>
    <w:rsid w:val="005F3159"/>
    <w:rsid w:val="005F33ED"/>
    <w:rsid w:val="005F56CA"/>
    <w:rsid w:val="005F5F6F"/>
    <w:rsid w:val="005F73C8"/>
    <w:rsid w:val="005F7C93"/>
    <w:rsid w:val="0060036C"/>
    <w:rsid w:val="00600F2E"/>
    <w:rsid w:val="00601C67"/>
    <w:rsid w:val="006025A2"/>
    <w:rsid w:val="00602E75"/>
    <w:rsid w:val="0060353C"/>
    <w:rsid w:val="00603C41"/>
    <w:rsid w:val="006068C4"/>
    <w:rsid w:val="00607EAD"/>
    <w:rsid w:val="00611896"/>
    <w:rsid w:val="0061233B"/>
    <w:rsid w:val="00614A34"/>
    <w:rsid w:val="00614F80"/>
    <w:rsid w:val="0061530B"/>
    <w:rsid w:val="00615347"/>
    <w:rsid w:val="0061566A"/>
    <w:rsid w:val="00616870"/>
    <w:rsid w:val="00617A06"/>
    <w:rsid w:val="00617CF4"/>
    <w:rsid w:val="00621BCF"/>
    <w:rsid w:val="00622663"/>
    <w:rsid w:val="00622873"/>
    <w:rsid w:val="00623C83"/>
    <w:rsid w:val="00624868"/>
    <w:rsid w:val="0062560A"/>
    <w:rsid w:val="00626123"/>
    <w:rsid w:val="006267A8"/>
    <w:rsid w:val="00626CEF"/>
    <w:rsid w:val="00630347"/>
    <w:rsid w:val="0063052E"/>
    <w:rsid w:val="00630912"/>
    <w:rsid w:val="00632C9F"/>
    <w:rsid w:val="00633BA3"/>
    <w:rsid w:val="00633EB8"/>
    <w:rsid w:val="00635D01"/>
    <w:rsid w:val="00635D70"/>
    <w:rsid w:val="00636159"/>
    <w:rsid w:val="0063706C"/>
    <w:rsid w:val="006370E9"/>
    <w:rsid w:val="006416EC"/>
    <w:rsid w:val="006429D2"/>
    <w:rsid w:val="00643337"/>
    <w:rsid w:val="006435F8"/>
    <w:rsid w:val="00643B31"/>
    <w:rsid w:val="00644740"/>
    <w:rsid w:val="00644CF6"/>
    <w:rsid w:val="00645C11"/>
    <w:rsid w:val="00645EDA"/>
    <w:rsid w:val="0064645D"/>
    <w:rsid w:val="00647670"/>
    <w:rsid w:val="00650C28"/>
    <w:rsid w:val="00650F54"/>
    <w:rsid w:val="0065269D"/>
    <w:rsid w:val="006546D8"/>
    <w:rsid w:val="00654E5B"/>
    <w:rsid w:val="00656077"/>
    <w:rsid w:val="00656847"/>
    <w:rsid w:val="00656D32"/>
    <w:rsid w:val="00656DDE"/>
    <w:rsid w:val="00657576"/>
    <w:rsid w:val="00657898"/>
    <w:rsid w:val="006601F7"/>
    <w:rsid w:val="006603B3"/>
    <w:rsid w:val="00660B43"/>
    <w:rsid w:val="00660FF1"/>
    <w:rsid w:val="006611AA"/>
    <w:rsid w:val="006629F7"/>
    <w:rsid w:val="00662CB8"/>
    <w:rsid w:val="00663217"/>
    <w:rsid w:val="0066399B"/>
    <w:rsid w:val="00663E6A"/>
    <w:rsid w:val="00663EE1"/>
    <w:rsid w:val="006647DE"/>
    <w:rsid w:val="006659CB"/>
    <w:rsid w:val="00666043"/>
    <w:rsid w:val="00666E42"/>
    <w:rsid w:val="00667DE7"/>
    <w:rsid w:val="00672420"/>
    <w:rsid w:val="006725A2"/>
    <w:rsid w:val="00673401"/>
    <w:rsid w:val="00673408"/>
    <w:rsid w:val="00673DB2"/>
    <w:rsid w:val="006743B1"/>
    <w:rsid w:val="00674522"/>
    <w:rsid w:val="006747BD"/>
    <w:rsid w:val="006749AF"/>
    <w:rsid w:val="00675068"/>
    <w:rsid w:val="006752A1"/>
    <w:rsid w:val="00677562"/>
    <w:rsid w:val="00677979"/>
    <w:rsid w:val="00680196"/>
    <w:rsid w:val="00681F93"/>
    <w:rsid w:val="006826CC"/>
    <w:rsid w:val="00682EA0"/>
    <w:rsid w:val="00683040"/>
    <w:rsid w:val="0068369E"/>
    <w:rsid w:val="006839C4"/>
    <w:rsid w:val="006847BB"/>
    <w:rsid w:val="0068712F"/>
    <w:rsid w:val="00691094"/>
    <w:rsid w:val="006913A2"/>
    <w:rsid w:val="006913C0"/>
    <w:rsid w:val="0069312F"/>
    <w:rsid w:val="006954E2"/>
    <w:rsid w:val="00695E2E"/>
    <w:rsid w:val="0069603A"/>
    <w:rsid w:val="006966E9"/>
    <w:rsid w:val="00697802"/>
    <w:rsid w:val="00697ABF"/>
    <w:rsid w:val="006A19AC"/>
    <w:rsid w:val="006A1D67"/>
    <w:rsid w:val="006A34FB"/>
    <w:rsid w:val="006A3986"/>
    <w:rsid w:val="006A39A8"/>
    <w:rsid w:val="006A447C"/>
    <w:rsid w:val="006A4D1A"/>
    <w:rsid w:val="006A7BBC"/>
    <w:rsid w:val="006B1275"/>
    <w:rsid w:val="006B1AB2"/>
    <w:rsid w:val="006B1C9E"/>
    <w:rsid w:val="006B1EFA"/>
    <w:rsid w:val="006B2158"/>
    <w:rsid w:val="006B2CCC"/>
    <w:rsid w:val="006B32FF"/>
    <w:rsid w:val="006B4B15"/>
    <w:rsid w:val="006B5177"/>
    <w:rsid w:val="006B71C3"/>
    <w:rsid w:val="006B75AC"/>
    <w:rsid w:val="006B79F3"/>
    <w:rsid w:val="006B7FBA"/>
    <w:rsid w:val="006C0033"/>
    <w:rsid w:val="006C02D1"/>
    <w:rsid w:val="006C1ADF"/>
    <w:rsid w:val="006C1EED"/>
    <w:rsid w:val="006C20BE"/>
    <w:rsid w:val="006C21D0"/>
    <w:rsid w:val="006C22E5"/>
    <w:rsid w:val="006C51BC"/>
    <w:rsid w:val="006C6532"/>
    <w:rsid w:val="006C653E"/>
    <w:rsid w:val="006C65D8"/>
    <w:rsid w:val="006C6AB2"/>
    <w:rsid w:val="006D0061"/>
    <w:rsid w:val="006D0488"/>
    <w:rsid w:val="006D231A"/>
    <w:rsid w:val="006D24B0"/>
    <w:rsid w:val="006D371C"/>
    <w:rsid w:val="006D4C07"/>
    <w:rsid w:val="006D542C"/>
    <w:rsid w:val="006D553E"/>
    <w:rsid w:val="006D5D93"/>
    <w:rsid w:val="006D64F0"/>
    <w:rsid w:val="006D746C"/>
    <w:rsid w:val="006D7A89"/>
    <w:rsid w:val="006D7FC8"/>
    <w:rsid w:val="006E0539"/>
    <w:rsid w:val="006E162F"/>
    <w:rsid w:val="006E21A0"/>
    <w:rsid w:val="006E22FC"/>
    <w:rsid w:val="006E2CED"/>
    <w:rsid w:val="006E307E"/>
    <w:rsid w:val="006E49BF"/>
    <w:rsid w:val="006E4AE1"/>
    <w:rsid w:val="006E4C45"/>
    <w:rsid w:val="006E5034"/>
    <w:rsid w:val="006E5EB9"/>
    <w:rsid w:val="006F16CF"/>
    <w:rsid w:val="006F29B0"/>
    <w:rsid w:val="006F2A72"/>
    <w:rsid w:val="006F2E53"/>
    <w:rsid w:val="006F30F1"/>
    <w:rsid w:val="006F3849"/>
    <w:rsid w:val="006F3E3E"/>
    <w:rsid w:val="006F56F3"/>
    <w:rsid w:val="006F5E6A"/>
    <w:rsid w:val="006F7F12"/>
    <w:rsid w:val="00700ACE"/>
    <w:rsid w:val="0070158F"/>
    <w:rsid w:val="007033BD"/>
    <w:rsid w:val="00703C12"/>
    <w:rsid w:val="00705713"/>
    <w:rsid w:val="00705B7C"/>
    <w:rsid w:val="007064A8"/>
    <w:rsid w:val="007070BC"/>
    <w:rsid w:val="00707CD2"/>
    <w:rsid w:val="007119B8"/>
    <w:rsid w:val="00712141"/>
    <w:rsid w:val="007122C4"/>
    <w:rsid w:val="00712AAB"/>
    <w:rsid w:val="007135CC"/>
    <w:rsid w:val="00714287"/>
    <w:rsid w:val="00714E64"/>
    <w:rsid w:val="00715BD6"/>
    <w:rsid w:val="0071698B"/>
    <w:rsid w:val="00720CCC"/>
    <w:rsid w:val="00720FFF"/>
    <w:rsid w:val="007211D8"/>
    <w:rsid w:val="00721A07"/>
    <w:rsid w:val="00722086"/>
    <w:rsid w:val="00723F75"/>
    <w:rsid w:val="007246E0"/>
    <w:rsid w:val="00725569"/>
    <w:rsid w:val="007269E1"/>
    <w:rsid w:val="00726AD9"/>
    <w:rsid w:val="007274DA"/>
    <w:rsid w:val="00727847"/>
    <w:rsid w:val="00730BBA"/>
    <w:rsid w:val="00731D1F"/>
    <w:rsid w:val="007321ED"/>
    <w:rsid w:val="007323EE"/>
    <w:rsid w:val="0073240A"/>
    <w:rsid w:val="00732A63"/>
    <w:rsid w:val="00733DA6"/>
    <w:rsid w:val="00734ED4"/>
    <w:rsid w:val="00736328"/>
    <w:rsid w:val="00736612"/>
    <w:rsid w:val="007374FD"/>
    <w:rsid w:val="0074146A"/>
    <w:rsid w:val="00741C44"/>
    <w:rsid w:val="007423C9"/>
    <w:rsid w:val="007429F3"/>
    <w:rsid w:val="00743A70"/>
    <w:rsid w:val="0074665F"/>
    <w:rsid w:val="00746A72"/>
    <w:rsid w:val="00747F32"/>
    <w:rsid w:val="00747FF6"/>
    <w:rsid w:val="007512DA"/>
    <w:rsid w:val="00751602"/>
    <w:rsid w:val="00756209"/>
    <w:rsid w:val="00756E8A"/>
    <w:rsid w:val="00757DE9"/>
    <w:rsid w:val="00761873"/>
    <w:rsid w:val="00762383"/>
    <w:rsid w:val="0076291B"/>
    <w:rsid w:val="00762A09"/>
    <w:rsid w:val="007633DF"/>
    <w:rsid w:val="00764EBE"/>
    <w:rsid w:val="00764F1B"/>
    <w:rsid w:val="00765323"/>
    <w:rsid w:val="007661D0"/>
    <w:rsid w:val="00767566"/>
    <w:rsid w:val="00770065"/>
    <w:rsid w:val="00770B0C"/>
    <w:rsid w:val="00770C87"/>
    <w:rsid w:val="007713DB"/>
    <w:rsid w:val="00771A89"/>
    <w:rsid w:val="00771C07"/>
    <w:rsid w:val="00772921"/>
    <w:rsid w:val="0077298C"/>
    <w:rsid w:val="00774420"/>
    <w:rsid w:val="007744A2"/>
    <w:rsid w:val="00774F2A"/>
    <w:rsid w:val="00775CEC"/>
    <w:rsid w:val="007761E6"/>
    <w:rsid w:val="007764B7"/>
    <w:rsid w:val="00776F60"/>
    <w:rsid w:val="00777B34"/>
    <w:rsid w:val="007805B8"/>
    <w:rsid w:val="00780B99"/>
    <w:rsid w:val="007812A2"/>
    <w:rsid w:val="007816B9"/>
    <w:rsid w:val="00781AA0"/>
    <w:rsid w:val="00782EB5"/>
    <w:rsid w:val="00783BC4"/>
    <w:rsid w:val="00783D39"/>
    <w:rsid w:val="00783FA3"/>
    <w:rsid w:val="007846E4"/>
    <w:rsid w:val="00784DEA"/>
    <w:rsid w:val="00785685"/>
    <w:rsid w:val="0078594D"/>
    <w:rsid w:val="007867A3"/>
    <w:rsid w:val="00787787"/>
    <w:rsid w:val="00787C67"/>
    <w:rsid w:val="00787F4B"/>
    <w:rsid w:val="00791BA8"/>
    <w:rsid w:val="0079273B"/>
    <w:rsid w:val="007939EF"/>
    <w:rsid w:val="00793ED0"/>
    <w:rsid w:val="0079574A"/>
    <w:rsid w:val="00796B6A"/>
    <w:rsid w:val="00797F37"/>
    <w:rsid w:val="007A00F0"/>
    <w:rsid w:val="007A05B1"/>
    <w:rsid w:val="007A0622"/>
    <w:rsid w:val="007A071A"/>
    <w:rsid w:val="007A1202"/>
    <w:rsid w:val="007A1793"/>
    <w:rsid w:val="007A1A7E"/>
    <w:rsid w:val="007A228E"/>
    <w:rsid w:val="007A2CB6"/>
    <w:rsid w:val="007A501F"/>
    <w:rsid w:val="007A7240"/>
    <w:rsid w:val="007A73C1"/>
    <w:rsid w:val="007B030A"/>
    <w:rsid w:val="007B1E4F"/>
    <w:rsid w:val="007B2AD9"/>
    <w:rsid w:val="007B3F1E"/>
    <w:rsid w:val="007B5A0F"/>
    <w:rsid w:val="007B670E"/>
    <w:rsid w:val="007B6779"/>
    <w:rsid w:val="007B6937"/>
    <w:rsid w:val="007C067A"/>
    <w:rsid w:val="007C0E27"/>
    <w:rsid w:val="007C1BD8"/>
    <w:rsid w:val="007C1E87"/>
    <w:rsid w:val="007C28E2"/>
    <w:rsid w:val="007C30BC"/>
    <w:rsid w:val="007C59B1"/>
    <w:rsid w:val="007C61EC"/>
    <w:rsid w:val="007C67A6"/>
    <w:rsid w:val="007C7C22"/>
    <w:rsid w:val="007C7C78"/>
    <w:rsid w:val="007D0432"/>
    <w:rsid w:val="007D0D4B"/>
    <w:rsid w:val="007D155D"/>
    <w:rsid w:val="007D280E"/>
    <w:rsid w:val="007D3A6C"/>
    <w:rsid w:val="007D588F"/>
    <w:rsid w:val="007D5AE6"/>
    <w:rsid w:val="007D6462"/>
    <w:rsid w:val="007D67B9"/>
    <w:rsid w:val="007D6E88"/>
    <w:rsid w:val="007D7605"/>
    <w:rsid w:val="007D7FFC"/>
    <w:rsid w:val="007E0FBE"/>
    <w:rsid w:val="007E3534"/>
    <w:rsid w:val="007E43A2"/>
    <w:rsid w:val="007E4755"/>
    <w:rsid w:val="007E4852"/>
    <w:rsid w:val="007E5695"/>
    <w:rsid w:val="007E61F4"/>
    <w:rsid w:val="007E6A54"/>
    <w:rsid w:val="007F2904"/>
    <w:rsid w:val="007F2958"/>
    <w:rsid w:val="007F2E60"/>
    <w:rsid w:val="007F4395"/>
    <w:rsid w:val="007F4664"/>
    <w:rsid w:val="007F4AF8"/>
    <w:rsid w:val="007F5476"/>
    <w:rsid w:val="007F562C"/>
    <w:rsid w:val="007F57AB"/>
    <w:rsid w:val="007F5FBA"/>
    <w:rsid w:val="007F66FE"/>
    <w:rsid w:val="007F78B5"/>
    <w:rsid w:val="007F78F6"/>
    <w:rsid w:val="00800427"/>
    <w:rsid w:val="00801CDC"/>
    <w:rsid w:val="008034D7"/>
    <w:rsid w:val="00804404"/>
    <w:rsid w:val="00804407"/>
    <w:rsid w:val="00804B86"/>
    <w:rsid w:val="00804FC7"/>
    <w:rsid w:val="0080556F"/>
    <w:rsid w:val="00805FBB"/>
    <w:rsid w:val="0080606C"/>
    <w:rsid w:val="008061DD"/>
    <w:rsid w:val="008067D6"/>
    <w:rsid w:val="00807680"/>
    <w:rsid w:val="00807A41"/>
    <w:rsid w:val="00807FF3"/>
    <w:rsid w:val="00811BED"/>
    <w:rsid w:val="00811FA6"/>
    <w:rsid w:val="00814606"/>
    <w:rsid w:val="008146C9"/>
    <w:rsid w:val="0081479F"/>
    <w:rsid w:val="00815D07"/>
    <w:rsid w:val="00816BD4"/>
    <w:rsid w:val="008219E3"/>
    <w:rsid w:val="00822293"/>
    <w:rsid w:val="00822961"/>
    <w:rsid w:val="00822FB0"/>
    <w:rsid w:val="00824A1A"/>
    <w:rsid w:val="00824AFF"/>
    <w:rsid w:val="00824CAC"/>
    <w:rsid w:val="00824D4B"/>
    <w:rsid w:val="00824D5B"/>
    <w:rsid w:val="00825FC6"/>
    <w:rsid w:val="008276C3"/>
    <w:rsid w:val="00827C37"/>
    <w:rsid w:val="00830956"/>
    <w:rsid w:val="00830AA0"/>
    <w:rsid w:val="00831CEF"/>
    <w:rsid w:val="00832DF0"/>
    <w:rsid w:val="00833813"/>
    <w:rsid w:val="00833F8E"/>
    <w:rsid w:val="0083671D"/>
    <w:rsid w:val="00836B35"/>
    <w:rsid w:val="008408B3"/>
    <w:rsid w:val="00840A0B"/>
    <w:rsid w:val="0084235E"/>
    <w:rsid w:val="008429E4"/>
    <w:rsid w:val="008434BC"/>
    <w:rsid w:val="00843B8B"/>
    <w:rsid w:val="008441F9"/>
    <w:rsid w:val="0084588A"/>
    <w:rsid w:val="0084667E"/>
    <w:rsid w:val="008500D7"/>
    <w:rsid w:val="008508A3"/>
    <w:rsid w:val="008516E2"/>
    <w:rsid w:val="00852BBB"/>
    <w:rsid w:val="008537E2"/>
    <w:rsid w:val="00854390"/>
    <w:rsid w:val="0085595B"/>
    <w:rsid w:val="00856BAA"/>
    <w:rsid w:val="0085753C"/>
    <w:rsid w:val="0085771E"/>
    <w:rsid w:val="008578FC"/>
    <w:rsid w:val="00860246"/>
    <w:rsid w:val="00860C27"/>
    <w:rsid w:val="008619E1"/>
    <w:rsid w:val="00862049"/>
    <w:rsid w:val="00862547"/>
    <w:rsid w:val="00862E7F"/>
    <w:rsid w:val="00863B70"/>
    <w:rsid w:val="00864931"/>
    <w:rsid w:val="00864DC8"/>
    <w:rsid w:val="008657B4"/>
    <w:rsid w:val="00867133"/>
    <w:rsid w:val="008678A8"/>
    <w:rsid w:val="00867B51"/>
    <w:rsid w:val="00870BF3"/>
    <w:rsid w:val="00870D97"/>
    <w:rsid w:val="008710D5"/>
    <w:rsid w:val="00873CEB"/>
    <w:rsid w:val="0087477D"/>
    <w:rsid w:val="008749FB"/>
    <w:rsid w:val="00874CB1"/>
    <w:rsid w:val="0087500E"/>
    <w:rsid w:val="00875BDF"/>
    <w:rsid w:val="0088135D"/>
    <w:rsid w:val="00881F5B"/>
    <w:rsid w:val="008820A3"/>
    <w:rsid w:val="0088228C"/>
    <w:rsid w:val="00882F11"/>
    <w:rsid w:val="008832F4"/>
    <w:rsid w:val="00884BE8"/>
    <w:rsid w:val="0088799F"/>
    <w:rsid w:val="00887A60"/>
    <w:rsid w:val="00887EE3"/>
    <w:rsid w:val="0089110A"/>
    <w:rsid w:val="008913F0"/>
    <w:rsid w:val="008914F0"/>
    <w:rsid w:val="0089301D"/>
    <w:rsid w:val="008934C6"/>
    <w:rsid w:val="008956A5"/>
    <w:rsid w:val="00895CD3"/>
    <w:rsid w:val="008969E1"/>
    <w:rsid w:val="008975B4"/>
    <w:rsid w:val="008975C0"/>
    <w:rsid w:val="008976A0"/>
    <w:rsid w:val="0089785B"/>
    <w:rsid w:val="008A1985"/>
    <w:rsid w:val="008A1F8D"/>
    <w:rsid w:val="008A21F6"/>
    <w:rsid w:val="008A35AB"/>
    <w:rsid w:val="008A49B6"/>
    <w:rsid w:val="008A4AB3"/>
    <w:rsid w:val="008A4F4B"/>
    <w:rsid w:val="008A569C"/>
    <w:rsid w:val="008A6356"/>
    <w:rsid w:val="008A7322"/>
    <w:rsid w:val="008A7978"/>
    <w:rsid w:val="008B070D"/>
    <w:rsid w:val="008B0C14"/>
    <w:rsid w:val="008B0CE7"/>
    <w:rsid w:val="008B3565"/>
    <w:rsid w:val="008B3B11"/>
    <w:rsid w:val="008B480B"/>
    <w:rsid w:val="008B5479"/>
    <w:rsid w:val="008B58A7"/>
    <w:rsid w:val="008B6282"/>
    <w:rsid w:val="008B6871"/>
    <w:rsid w:val="008B6BF5"/>
    <w:rsid w:val="008C035B"/>
    <w:rsid w:val="008C0B0B"/>
    <w:rsid w:val="008C0D76"/>
    <w:rsid w:val="008C1239"/>
    <w:rsid w:val="008C1B8E"/>
    <w:rsid w:val="008C250F"/>
    <w:rsid w:val="008C2CCC"/>
    <w:rsid w:val="008C3B4E"/>
    <w:rsid w:val="008C47E1"/>
    <w:rsid w:val="008C4B2D"/>
    <w:rsid w:val="008C4DA4"/>
    <w:rsid w:val="008C6B21"/>
    <w:rsid w:val="008C7D7C"/>
    <w:rsid w:val="008D0291"/>
    <w:rsid w:val="008D0C8C"/>
    <w:rsid w:val="008D0CCF"/>
    <w:rsid w:val="008D16E0"/>
    <w:rsid w:val="008D425B"/>
    <w:rsid w:val="008D5EE9"/>
    <w:rsid w:val="008D771D"/>
    <w:rsid w:val="008E017E"/>
    <w:rsid w:val="008E0812"/>
    <w:rsid w:val="008E21A9"/>
    <w:rsid w:val="008E3096"/>
    <w:rsid w:val="008E456F"/>
    <w:rsid w:val="008E4842"/>
    <w:rsid w:val="008E4BB0"/>
    <w:rsid w:val="008E52FF"/>
    <w:rsid w:val="008E6A95"/>
    <w:rsid w:val="008E72DD"/>
    <w:rsid w:val="008E741D"/>
    <w:rsid w:val="008E7E7F"/>
    <w:rsid w:val="008F0026"/>
    <w:rsid w:val="008F052D"/>
    <w:rsid w:val="008F0BB9"/>
    <w:rsid w:val="008F160E"/>
    <w:rsid w:val="008F24AE"/>
    <w:rsid w:val="008F2549"/>
    <w:rsid w:val="008F4234"/>
    <w:rsid w:val="008F528C"/>
    <w:rsid w:val="008F54BA"/>
    <w:rsid w:val="008F59F3"/>
    <w:rsid w:val="008F6178"/>
    <w:rsid w:val="008F640A"/>
    <w:rsid w:val="008F6BE0"/>
    <w:rsid w:val="008F7F87"/>
    <w:rsid w:val="00900791"/>
    <w:rsid w:val="00901A8A"/>
    <w:rsid w:val="00902644"/>
    <w:rsid w:val="00902F9C"/>
    <w:rsid w:val="0090327D"/>
    <w:rsid w:val="00903280"/>
    <w:rsid w:val="00903973"/>
    <w:rsid w:val="00903A19"/>
    <w:rsid w:val="009044CA"/>
    <w:rsid w:val="009044F2"/>
    <w:rsid w:val="009046DF"/>
    <w:rsid w:val="009060AB"/>
    <w:rsid w:val="0090653F"/>
    <w:rsid w:val="00910E70"/>
    <w:rsid w:val="00911193"/>
    <w:rsid w:val="00912BF1"/>
    <w:rsid w:val="00913710"/>
    <w:rsid w:val="00913BC7"/>
    <w:rsid w:val="0091403F"/>
    <w:rsid w:val="00914F7E"/>
    <w:rsid w:val="00915E2A"/>
    <w:rsid w:val="009205CD"/>
    <w:rsid w:val="00921F70"/>
    <w:rsid w:val="00921F8A"/>
    <w:rsid w:val="00922189"/>
    <w:rsid w:val="009238D0"/>
    <w:rsid w:val="00923A97"/>
    <w:rsid w:val="009246C8"/>
    <w:rsid w:val="0092562B"/>
    <w:rsid w:val="00925B1D"/>
    <w:rsid w:val="00925CA8"/>
    <w:rsid w:val="009270D5"/>
    <w:rsid w:val="009272A1"/>
    <w:rsid w:val="00927D50"/>
    <w:rsid w:val="00927F12"/>
    <w:rsid w:val="00930A02"/>
    <w:rsid w:val="00930A0B"/>
    <w:rsid w:val="009318AA"/>
    <w:rsid w:val="00931CC4"/>
    <w:rsid w:val="009325DE"/>
    <w:rsid w:val="009331D3"/>
    <w:rsid w:val="00934231"/>
    <w:rsid w:val="0093428A"/>
    <w:rsid w:val="00934A84"/>
    <w:rsid w:val="0093536B"/>
    <w:rsid w:val="00935422"/>
    <w:rsid w:val="00935483"/>
    <w:rsid w:val="00935D35"/>
    <w:rsid w:val="009369FB"/>
    <w:rsid w:val="00937267"/>
    <w:rsid w:val="0093726F"/>
    <w:rsid w:val="00937477"/>
    <w:rsid w:val="00937877"/>
    <w:rsid w:val="00937CF9"/>
    <w:rsid w:val="009418C0"/>
    <w:rsid w:val="00941B75"/>
    <w:rsid w:val="00942F21"/>
    <w:rsid w:val="00945302"/>
    <w:rsid w:val="00945345"/>
    <w:rsid w:val="009467B7"/>
    <w:rsid w:val="0094768B"/>
    <w:rsid w:val="0094791A"/>
    <w:rsid w:val="009479A6"/>
    <w:rsid w:val="00947F76"/>
    <w:rsid w:val="0095335D"/>
    <w:rsid w:val="00954087"/>
    <w:rsid w:val="0095426C"/>
    <w:rsid w:val="00954A03"/>
    <w:rsid w:val="00955553"/>
    <w:rsid w:val="00955A37"/>
    <w:rsid w:val="00956D8E"/>
    <w:rsid w:val="009618A1"/>
    <w:rsid w:val="0096199D"/>
    <w:rsid w:val="00961ACE"/>
    <w:rsid w:val="009632F6"/>
    <w:rsid w:val="009634F5"/>
    <w:rsid w:val="00963940"/>
    <w:rsid w:val="00965046"/>
    <w:rsid w:val="00965099"/>
    <w:rsid w:val="009655DC"/>
    <w:rsid w:val="00965CF4"/>
    <w:rsid w:val="00965EBC"/>
    <w:rsid w:val="009666E1"/>
    <w:rsid w:val="00966D3C"/>
    <w:rsid w:val="00967D2C"/>
    <w:rsid w:val="0097384F"/>
    <w:rsid w:val="00974E43"/>
    <w:rsid w:val="009757EC"/>
    <w:rsid w:val="00976562"/>
    <w:rsid w:val="009777D0"/>
    <w:rsid w:val="00980832"/>
    <w:rsid w:val="00981659"/>
    <w:rsid w:val="00981ED3"/>
    <w:rsid w:val="00981F44"/>
    <w:rsid w:val="0098269C"/>
    <w:rsid w:val="00982A9B"/>
    <w:rsid w:val="00983432"/>
    <w:rsid w:val="00983788"/>
    <w:rsid w:val="00984771"/>
    <w:rsid w:val="00985E03"/>
    <w:rsid w:val="00987F05"/>
    <w:rsid w:val="009923CF"/>
    <w:rsid w:val="00993428"/>
    <w:rsid w:val="00993726"/>
    <w:rsid w:val="0099493C"/>
    <w:rsid w:val="00994EE4"/>
    <w:rsid w:val="00995C79"/>
    <w:rsid w:val="009A088F"/>
    <w:rsid w:val="009A23FA"/>
    <w:rsid w:val="009A2559"/>
    <w:rsid w:val="009A2B68"/>
    <w:rsid w:val="009A411F"/>
    <w:rsid w:val="009A4CF2"/>
    <w:rsid w:val="009A5861"/>
    <w:rsid w:val="009A5D31"/>
    <w:rsid w:val="009A5FF4"/>
    <w:rsid w:val="009A6ED3"/>
    <w:rsid w:val="009A7AD1"/>
    <w:rsid w:val="009B3A5E"/>
    <w:rsid w:val="009B3C2D"/>
    <w:rsid w:val="009B49F8"/>
    <w:rsid w:val="009B6359"/>
    <w:rsid w:val="009B6CE4"/>
    <w:rsid w:val="009B6F0C"/>
    <w:rsid w:val="009C0167"/>
    <w:rsid w:val="009C0424"/>
    <w:rsid w:val="009C0A38"/>
    <w:rsid w:val="009C1C6E"/>
    <w:rsid w:val="009C1FB9"/>
    <w:rsid w:val="009C2392"/>
    <w:rsid w:val="009C315C"/>
    <w:rsid w:val="009C38C9"/>
    <w:rsid w:val="009C3EB7"/>
    <w:rsid w:val="009C4F9B"/>
    <w:rsid w:val="009C5394"/>
    <w:rsid w:val="009C57F5"/>
    <w:rsid w:val="009C5C59"/>
    <w:rsid w:val="009C5CDB"/>
    <w:rsid w:val="009C65F1"/>
    <w:rsid w:val="009D11AB"/>
    <w:rsid w:val="009D14F0"/>
    <w:rsid w:val="009D40A7"/>
    <w:rsid w:val="009D4416"/>
    <w:rsid w:val="009D45F6"/>
    <w:rsid w:val="009D48A7"/>
    <w:rsid w:val="009D5527"/>
    <w:rsid w:val="009D5D6A"/>
    <w:rsid w:val="009D67E2"/>
    <w:rsid w:val="009D6A26"/>
    <w:rsid w:val="009E04B4"/>
    <w:rsid w:val="009E1320"/>
    <w:rsid w:val="009E1EA1"/>
    <w:rsid w:val="009E2A74"/>
    <w:rsid w:val="009E2F93"/>
    <w:rsid w:val="009E4785"/>
    <w:rsid w:val="009E5827"/>
    <w:rsid w:val="009E615C"/>
    <w:rsid w:val="009E762D"/>
    <w:rsid w:val="009F23EA"/>
    <w:rsid w:val="009F2C90"/>
    <w:rsid w:val="009F2CB6"/>
    <w:rsid w:val="009F4A71"/>
    <w:rsid w:val="009F698C"/>
    <w:rsid w:val="009F71BF"/>
    <w:rsid w:val="00A003B5"/>
    <w:rsid w:val="00A00D15"/>
    <w:rsid w:val="00A00D99"/>
    <w:rsid w:val="00A01522"/>
    <w:rsid w:val="00A01839"/>
    <w:rsid w:val="00A01D11"/>
    <w:rsid w:val="00A0264F"/>
    <w:rsid w:val="00A04121"/>
    <w:rsid w:val="00A056EA"/>
    <w:rsid w:val="00A05785"/>
    <w:rsid w:val="00A05D64"/>
    <w:rsid w:val="00A066FC"/>
    <w:rsid w:val="00A06A79"/>
    <w:rsid w:val="00A07009"/>
    <w:rsid w:val="00A0720E"/>
    <w:rsid w:val="00A10A49"/>
    <w:rsid w:val="00A1213B"/>
    <w:rsid w:val="00A12256"/>
    <w:rsid w:val="00A1288B"/>
    <w:rsid w:val="00A1395A"/>
    <w:rsid w:val="00A13FAE"/>
    <w:rsid w:val="00A14CD9"/>
    <w:rsid w:val="00A155D2"/>
    <w:rsid w:val="00A15750"/>
    <w:rsid w:val="00A15868"/>
    <w:rsid w:val="00A16A48"/>
    <w:rsid w:val="00A177A1"/>
    <w:rsid w:val="00A17FE0"/>
    <w:rsid w:val="00A2053D"/>
    <w:rsid w:val="00A2069B"/>
    <w:rsid w:val="00A209A8"/>
    <w:rsid w:val="00A221A6"/>
    <w:rsid w:val="00A224BC"/>
    <w:rsid w:val="00A229E9"/>
    <w:rsid w:val="00A24065"/>
    <w:rsid w:val="00A2428C"/>
    <w:rsid w:val="00A268F7"/>
    <w:rsid w:val="00A2761B"/>
    <w:rsid w:val="00A3028D"/>
    <w:rsid w:val="00A3059F"/>
    <w:rsid w:val="00A305A7"/>
    <w:rsid w:val="00A31822"/>
    <w:rsid w:val="00A31C8C"/>
    <w:rsid w:val="00A32C82"/>
    <w:rsid w:val="00A32D85"/>
    <w:rsid w:val="00A342ED"/>
    <w:rsid w:val="00A35A8F"/>
    <w:rsid w:val="00A35D6F"/>
    <w:rsid w:val="00A36BA8"/>
    <w:rsid w:val="00A37752"/>
    <w:rsid w:val="00A37F1E"/>
    <w:rsid w:val="00A41513"/>
    <w:rsid w:val="00A41C98"/>
    <w:rsid w:val="00A41E2A"/>
    <w:rsid w:val="00A41F79"/>
    <w:rsid w:val="00A436DD"/>
    <w:rsid w:val="00A43847"/>
    <w:rsid w:val="00A43B37"/>
    <w:rsid w:val="00A44304"/>
    <w:rsid w:val="00A44551"/>
    <w:rsid w:val="00A44C3D"/>
    <w:rsid w:val="00A45A85"/>
    <w:rsid w:val="00A45C52"/>
    <w:rsid w:val="00A4648D"/>
    <w:rsid w:val="00A471B9"/>
    <w:rsid w:val="00A475A3"/>
    <w:rsid w:val="00A477A6"/>
    <w:rsid w:val="00A47810"/>
    <w:rsid w:val="00A5108A"/>
    <w:rsid w:val="00A516FB"/>
    <w:rsid w:val="00A526E0"/>
    <w:rsid w:val="00A52780"/>
    <w:rsid w:val="00A52E45"/>
    <w:rsid w:val="00A531C5"/>
    <w:rsid w:val="00A534E2"/>
    <w:rsid w:val="00A53724"/>
    <w:rsid w:val="00A54181"/>
    <w:rsid w:val="00A548D4"/>
    <w:rsid w:val="00A54E38"/>
    <w:rsid w:val="00A56218"/>
    <w:rsid w:val="00A57302"/>
    <w:rsid w:val="00A6007E"/>
    <w:rsid w:val="00A6053F"/>
    <w:rsid w:val="00A6057F"/>
    <w:rsid w:val="00A61565"/>
    <w:rsid w:val="00A61808"/>
    <w:rsid w:val="00A6188F"/>
    <w:rsid w:val="00A6226B"/>
    <w:rsid w:val="00A63ABE"/>
    <w:rsid w:val="00A6458D"/>
    <w:rsid w:val="00A6635B"/>
    <w:rsid w:val="00A7123D"/>
    <w:rsid w:val="00A7230A"/>
    <w:rsid w:val="00A733CC"/>
    <w:rsid w:val="00A7353F"/>
    <w:rsid w:val="00A75963"/>
    <w:rsid w:val="00A76129"/>
    <w:rsid w:val="00A7658E"/>
    <w:rsid w:val="00A76C23"/>
    <w:rsid w:val="00A771C0"/>
    <w:rsid w:val="00A777D4"/>
    <w:rsid w:val="00A80523"/>
    <w:rsid w:val="00A80A41"/>
    <w:rsid w:val="00A82518"/>
    <w:rsid w:val="00A827BD"/>
    <w:rsid w:val="00A8355E"/>
    <w:rsid w:val="00A839C7"/>
    <w:rsid w:val="00A84271"/>
    <w:rsid w:val="00A85B09"/>
    <w:rsid w:val="00A86394"/>
    <w:rsid w:val="00A87097"/>
    <w:rsid w:val="00A87A29"/>
    <w:rsid w:val="00A87EEC"/>
    <w:rsid w:val="00A90A52"/>
    <w:rsid w:val="00A9313D"/>
    <w:rsid w:val="00A955F6"/>
    <w:rsid w:val="00A95B43"/>
    <w:rsid w:val="00A9601F"/>
    <w:rsid w:val="00A96D84"/>
    <w:rsid w:val="00A96DAA"/>
    <w:rsid w:val="00A9777B"/>
    <w:rsid w:val="00AA043E"/>
    <w:rsid w:val="00AA0447"/>
    <w:rsid w:val="00AA10A8"/>
    <w:rsid w:val="00AA2467"/>
    <w:rsid w:val="00AA4105"/>
    <w:rsid w:val="00AA47D3"/>
    <w:rsid w:val="00AA6274"/>
    <w:rsid w:val="00AA64A7"/>
    <w:rsid w:val="00AA660F"/>
    <w:rsid w:val="00AA67B0"/>
    <w:rsid w:val="00AA696C"/>
    <w:rsid w:val="00AA7327"/>
    <w:rsid w:val="00AB0485"/>
    <w:rsid w:val="00AB06B4"/>
    <w:rsid w:val="00AB06DB"/>
    <w:rsid w:val="00AB14FF"/>
    <w:rsid w:val="00AB1607"/>
    <w:rsid w:val="00AB1910"/>
    <w:rsid w:val="00AB2D17"/>
    <w:rsid w:val="00AB33DA"/>
    <w:rsid w:val="00AB3D87"/>
    <w:rsid w:val="00AB595C"/>
    <w:rsid w:val="00AC02BE"/>
    <w:rsid w:val="00AC1971"/>
    <w:rsid w:val="00AC1CE8"/>
    <w:rsid w:val="00AC1F4E"/>
    <w:rsid w:val="00AC3075"/>
    <w:rsid w:val="00AC3184"/>
    <w:rsid w:val="00AC330F"/>
    <w:rsid w:val="00AC39D4"/>
    <w:rsid w:val="00AC4685"/>
    <w:rsid w:val="00AC5AAD"/>
    <w:rsid w:val="00AC5DD8"/>
    <w:rsid w:val="00AC733B"/>
    <w:rsid w:val="00AC73EA"/>
    <w:rsid w:val="00AC7E78"/>
    <w:rsid w:val="00AD042D"/>
    <w:rsid w:val="00AD18D1"/>
    <w:rsid w:val="00AD24C6"/>
    <w:rsid w:val="00AD2C74"/>
    <w:rsid w:val="00AD32D4"/>
    <w:rsid w:val="00AD3AD0"/>
    <w:rsid w:val="00AD3C68"/>
    <w:rsid w:val="00AD3D5F"/>
    <w:rsid w:val="00AD44AD"/>
    <w:rsid w:val="00AD517C"/>
    <w:rsid w:val="00AD53EF"/>
    <w:rsid w:val="00AD5DF4"/>
    <w:rsid w:val="00AD683E"/>
    <w:rsid w:val="00AD6A9C"/>
    <w:rsid w:val="00AE027D"/>
    <w:rsid w:val="00AE0CBE"/>
    <w:rsid w:val="00AE2848"/>
    <w:rsid w:val="00AE3BD4"/>
    <w:rsid w:val="00AE3D66"/>
    <w:rsid w:val="00AE4BB2"/>
    <w:rsid w:val="00AE4C84"/>
    <w:rsid w:val="00AE6069"/>
    <w:rsid w:val="00AE79AB"/>
    <w:rsid w:val="00AE7B88"/>
    <w:rsid w:val="00AE7D23"/>
    <w:rsid w:val="00AF001C"/>
    <w:rsid w:val="00AF14D7"/>
    <w:rsid w:val="00AF2304"/>
    <w:rsid w:val="00AF3844"/>
    <w:rsid w:val="00AF5877"/>
    <w:rsid w:val="00AF5BF8"/>
    <w:rsid w:val="00AF5D5A"/>
    <w:rsid w:val="00AF6874"/>
    <w:rsid w:val="00B007D8"/>
    <w:rsid w:val="00B00A20"/>
    <w:rsid w:val="00B00EEC"/>
    <w:rsid w:val="00B012B7"/>
    <w:rsid w:val="00B0146A"/>
    <w:rsid w:val="00B0199A"/>
    <w:rsid w:val="00B0396B"/>
    <w:rsid w:val="00B048A9"/>
    <w:rsid w:val="00B05008"/>
    <w:rsid w:val="00B0505C"/>
    <w:rsid w:val="00B05933"/>
    <w:rsid w:val="00B05D23"/>
    <w:rsid w:val="00B0607A"/>
    <w:rsid w:val="00B06B33"/>
    <w:rsid w:val="00B10250"/>
    <w:rsid w:val="00B1058A"/>
    <w:rsid w:val="00B10CAE"/>
    <w:rsid w:val="00B10FF5"/>
    <w:rsid w:val="00B11BDA"/>
    <w:rsid w:val="00B11FC1"/>
    <w:rsid w:val="00B1441F"/>
    <w:rsid w:val="00B14CAB"/>
    <w:rsid w:val="00B159EA"/>
    <w:rsid w:val="00B165BC"/>
    <w:rsid w:val="00B168B8"/>
    <w:rsid w:val="00B17C94"/>
    <w:rsid w:val="00B2041E"/>
    <w:rsid w:val="00B20613"/>
    <w:rsid w:val="00B20C46"/>
    <w:rsid w:val="00B2222B"/>
    <w:rsid w:val="00B225C7"/>
    <w:rsid w:val="00B22C6E"/>
    <w:rsid w:val="00B245E5"/>
    <w:rsid w:val="00B25EEB"/>
    <w:rsid w:val="00B2621B"/>
    <w:rsid w:val="00B2695A"/>
    <w:rsid w:val="00B27105"/>
    <w:rsid w:val="00B303D4"/>
    <w:rsid w:val="00B31A9D"/>
    <w:rsid w:val="00B32A53"/>
    <w:rsid w:val="00B32C09"/>
    <w:rsid w:val="00B32EF4"/>
    <w:rsid w:val="00B3362C"/>
    <w:rsid w:val="00B33F7B"/>
    <w:rsid w:val="00B342F5"/>
    <w:rsid w:val="00B362E8"/>
    <w:rsid w:val="00B3643E"/>
    <w:rsid w:val="00B36AE2"/>
    <w:rsid w:val="00B37545"/>
    <w:rsid w:val="00B37B38"/>
    <w:rsid w:val="00B40A2F"/>
    <w:rsid w:val="00B40DF5"/>
    <w:rsid w:val="00B419C5"/>
    <w:rsid w:val="00B420D1"/>
    <w:rsid w:val="00B42452"/>
    <w:rsid w:val="00B427EB"/>
    <w:rsid w:val="00B42CA3"/>
    <w:rsid w:val="00B42D72"/>
    <w:rsid w:val="00B444B9"/>
    <w:rsid w:val="00B468B3"/>
    <w:rsid w:val="00B469D8"/>
    <w:rsid w:val="00B478F0"/>
    <w:rsid w:val="00B50254"/>
    <w:rsid w:val="00B5147C"/>
    <w:rsid w:val="00B5357F"/>
    <w:rsid w:val="00B556A7"/>
    <w:rsid w:val="00B5627D"/>
    <w:rsid w:val="00B56D3D"/>
    <w:rsid w:val="00B573CD"/>
    <w:rsid w:val="00B57B70"/>
    <w:rsid w:val="00B60494"/>
    <w:rsid w:val="00B620C7"/>
    <w:rsid w:val="00B638F0"/>
    <w:rsid w:val="00B63D35"/>
    <w:rsid w:val="00B63ED4"/>
    <w:rsid w:val="00B64BDA"/>
    <w:rsid w:val="00B66D38"/>
    <w:rsid w:val="00B679DD"/>
    <w:rsid w:val="00B70248"/>
    <w:rsid w:val="00B71580"/>
    <w:rsid w:val="00B7225D"/>
    <w:rsid w:val="00B72D04"/>
    <w:rsid w:val="00B7391E"/>
    <w:rsid w:val="00B7441E"/>
    <w:rsid w:val="00B75CF2"/>
    <w:rsid w:val="00B75D41"/>
    <w:rsid w:val="00B76F37"/>
    <w:rsid w:val="00B7737D"/>
    <w:rsid w:val="00B801DA"/>
    <w:rsid w:val="00B80500"/>
    <w:rsid w:val="00B80652"/>
    <w:rsid w:val="00B82197"/>
    <w:rsid w:val="00B82F05"/>
    <w:rsid w:val="00B82FD7"/>
    <w:rsid w:val="00B83751"/>
    <w:rsid w:val="00B84813"/>
    <w:rsid w:val="00B85580"/>
    <w:rsid w:val="00B85AD4"/>
    <w:rsid w:val="00B86582"/>
    <w:rsid w:val="00B86B06"/>
    <w:rsid w:val="00B86F20"/>
    <w:rsid w:val="00B86F8F"/>
    <w:rsid w:val="00B8762C"/>
    <w:rsid w:val="00B87928"/>
    <w:rsid w:val="00B87F63"/>
    <w:rsid w:val="00B9023F"/>
    <w:rsid w:val="00B92CD1"/>
    <w:rsid w:val="00B936D3"/>
    <w:rsid w:val="00B93FFE"/>
    <w:rsid w:val="00B956E1"/>
    <w:rsid w:val="00B96CDA"/>
    <w:rsid w:val="00B9719C"/>
    <w:rsid w:val="00B97438"/>
    <w:rsid w:val="00B97A41"/>
    <w:rsid w:val="00BA020B"/>
    <w:rsid w:val="00BA03E3"/>
    <w:rsid w:val="00BA0A3A"/>
    <w:rsid w:val="00BA11F1"/>
    <w:rsid w:val="00BA1558"/>
    <w:rsid w:val="00BA15C7"/>
    <w:rsid w:val="00BA1A59"/>
    <w:rsid w:val="00BA277E"/>
    <w:rsid w:val="00BA4E0C"/>
    <w:rsid w:val="00BA4F85"/>
    <w:rsid w:val="00BA5043"/>
    <w:rsid w:val="00BA7276"/>
    <w:rsid w:val="00BB16D1"/>
    <w:rsid w:val="00BB1987"/>
    <w:rsid w:val="00BB1F58"/>
    <w:rsid w:val="00BB24F3"/>
    <w:rsid w:val="00BB2572"/>
    <w:rsid w:val="00BB2C81"/>
    <w:rsid w:val="00BB39A6"/>
    <w:rsid w:val="00BB4E8A"/>
    <w:rsid w:val="00BB5B41"/>
    <w:rsid w:val="00BB7513"/>
    <w:rsid w:val="00BB7933"/>
    <w:rsid w:val="00BC0701"/>
    <w:rsid w:val="00BC1567"/>
    <w:rsid w:val="00BC1BAD"/>
    <w:rsid w:val="00BC2F1A"/>
    <w:rsid w:val="00BC4AEA"/>
    <w:rsid w:val="00BC5CE5"/>
    <w:rsid w:val="00BC7DEB"/>
    <w:rsid w:val="00BD01A6"/>
    <w:rsid w:val="00BD01ED"/>
    <w:rsid w:val="00BD1D3E"/>
    <w:rsid w:val="00BD28BA"/>
    <w:rsid w:val="00BD2A72"/>
    <w:rsid w:val="00BD3791"/>
    <w:rsid w:val="00BD4023"/>
    <w:rsid w:val="00BD54F5"/>
    <w:rsid w:val="00BD57CB"/>
    <w:rsid w:val="00BD6E91"/>
    <w:rsid w:val="00BD7505"/>
    <w:rsid w:val="00BD7780"/>
    <w:rsid w:val="00BE2045"/>
    <w:rsid w:val="00BE20E7"/>
    <w:rsid w:val="00BE3C05"/>
    <w:rsid w:val="00BE41D8"/>
    <w:rsid w:val="00BE48C9"/>
    <w:rsid w:val="00BE54AC"/>
    <w:rsid w:val="00BE5A8C"/>
    <w:rsid w:val="00BE6332"/>
    <w:rsid w:val="00BE6C71"/>
    <w:rsid w:val="00BE6E70"/>
    <w:rsid w:val="00BE7AA3"/>
    <w:rsid w:val="00BF0EF7"/>
    <w:rsid w:val="00BF10E5"/>
    <w:rsid w:val="00BF1955"/>
    <w:rsid w:val="00BF2C35"/>
    <w:rsid w:val="00BF4ED0"/>
    <w:rsid w:val="00BF58BA"/>
    <w:rsid w:val="00BF6617"/>
    <w:rsid w:val="00BF6741"/>
    <w:rsid w:val="00BF722D"/>
    <w:rsid w:val="00C005C0"/>
    <w:rsid w:val="00C0196C"/>
    <w:rsid w:val="00C02DCF"/>
    <w:rsid w:val="00C034C5"/>
    <w:rsid w:val="00C03A69"/>
    <w:rsid w:val="00C04091"/>
    <w:rsid w:val="00C053F3"/>
    <w:rsid w:val="00C054BF"/>
    <w:rsid w:val="00C05969"/>
    <w:rsid w:val="00C05B03"/>
    <w:rsid w:val="00C05E72"/>
    <w:rsid w:val="00C065BC"/>
    <w:rsid w:val="00C075F2"/>
    <w:rsid w:val="00C0763E"/>
    <w:rsid w:val="00C076DD"/>
    <w:rsid w:val="00C130B9"/>
    <w:rsid w:val="00C13A71"/>
    <w:rsid w:val="00C13D78"/>
    <w:rsid w:val="00C14585"/>
    <w:rsid w:val="00C15217"/>
    <w:rsid w:val="00C164F1"/>
    <w:rsid w:val="00C16BA2"/>
    <w:rsid w:val="00C17497"/>
    <w:rsid w:val="00C174A1"/>
    <w:rsid w:val="00C2040B"/>
    <w:rsid w:val="00C2120A"/>
    <w:rsid w:val="00C21FFB"/>
    <w:rsid w:val="00C22464"/>
    <w:rsid w:val="00C22630"/>
    <w:rsid w:val="00C23F2D"/>
    <w:rsid w:val="00C2413C"/>
    <w:rsid w:val="00C242E2"/>
    <w:rsid w:val="00C2439E"/>
    <w:rsid w:val="00C247CF"/>
    <w:rsid w:val="00C2596B"/>
    <w:rsid w:val="00C27601"/>
    <w:rsid w:val="00C310D8"/>
    <w:rsid w:val="00C31433"/>
    <w:rsid w:val="00C314D1"/>
    <w:rsid w:val="00C31B2D"/>
    <w:rsid w:val="00C31FBE"/>
    <w:rsid w:val="00C3246F"/>
    <w:rsid w:val="00C32871"/>
    <w:rsid w:val="00C32A71"/>
    <w:rsid w:val="00C32CBE"/>
    <w:rsid w:val="00C33D9B"/>
    <w:rsid w:val="00C34563"/>
    <w:rsid w:val="00C34FAA"/>
    <w:rsid w:val="00C3772B"/>
    <w:rsid w:val="00C37CDE"/>
    <w:rsid w:val="00C404BA"/>
    <w:rsid w:val="00C40887"/>
    <w:rsid w:val="00C41257"/>
    <w:rsid w:val="00C41674"/>
    <w:rsid w:val="00C41889"/>
    <w:rsid w:val="00C41FB0"/>
    <w:rsid w:val="00C42102"/>
    <w:rsid w:val="00C42834"/>
    <w:rsid w:val="00C43589"/>
    <w:rsid w:val="00C43CED"/>
    <w:rsid w:val="00C43E6D"/>
    <w:rsid w:val="00C443EA"/>
    <w:rsid w:val="00C451C8"/>
    <w:rsid w:val="00C46C32"/>
    <w:rsid w:val="00C47611"/>
    <w:rsid w:val="00C47FBB"/>
    <w:rsid w:val="00C50B29"/>
    <w:rsid w:val="00C50E57"/>
    <w:rsid w:val="00C5135C"/>
    <w:rsid w:val="00C513DE"/>
    <w:rsid w:val="00C51EF8"/>
    <w:rsid w:val="00C55038"/>
    <w:rsid w:val="00C566A1"/>
    <w:rsid w:val="00C56B77"/>
    <w:rsid w:val="00C56F80"/>
    <w:rsid w:val="00C57482"/>
    <w:rsid w:val="00C57749"/>
    <w:rsid w:val="00C577AC"/>
    <w:rsid w:val="00C6017A"/>
    <w:rsid w:val="00C60295"/>
    <w:rsid w:val="00C606AB"/>
    <w:rsid w:val="00C607D3"/>
    <w:rsid w:val="00C6089D"/>
    <w:rsid w:val="00C6123C"/>
    <w:rsid w:val="00C6255A"/>
    <w:rsid w:val="00C62D26"/>
    <w:rsid w:val="00C647CB"/>
    <w:rsid w:val="00C64DBF"/>
    <w:rsid w:val="00C65C59"/>
    <w:rsid w:val="00C66836"/>
    <w:rsid w:val="00C7028C"/>
    <w:rsid w:val="00C70B51"/>
    <w:rsid w:val="00C71794"/>
    <w:rsid w:val="00C72315"/>
    <w:rsid w:val="00C72A06"/>
    <w:rsid w:val="00C737DE"/>
    <w:rsid w:val="00C74E40"/>
    <w:rsid w:val="00C76137"/>
    <w:rsid w:val="00C76637"/>
    <w:rsid w:val="00C777E1"/>
    <w:rsid w:val="00C778FC"/>
    <w:rsid w:val="00C77A8E"/>
    <w:rsid w:val="00C77C56"/>
    <w:rsid w:val="00C80CD5"/>
    <w:rsid w:val="00C8176C"/>
    <w:rsid w:val="00C82188"/>
    <w:rsid w:val="00C827E0"/>
    <w:rsid w:val="00C83CE7"/>
    <w:rsid w:val="00C84236"/>
    <w:rsid w:val="00C84470"/>
    <w:rsid w:val="00C84518"/>
    <w:rsid w:val="00C8486D"/>
    <w:rsid w:val="00C84AFA"/>
    <w:rsid w:val="00C864A0"/>
    <w:rsid w:val="00C877C8"/>
    <w:rsid w:val="00C90FF2"/>
    <w:rsid w:val="00C91938"/>
    <w:rsid w:val="00C91E1C"/>
    <w:rsid w:val="00C922E6"/>
    <w:rsid w:val="00C93C85"/>
    <w:rsid w:val="00C94189"/>
    <w:rsid w:val="00C948DE"/>
    <w:rsid w:val="00C95CF5"/>
    <w:rsid w:val="00C969F9"/>
    <w:rsid w:val="00C96E08"/>
    <w:rsid w:val="00C97512"/>
    <w:rsid w:val="00CA104D"/>
    <w:rsid w:val="00CA11C5"/>
    <w:rsid w:val="00CA11F9"/>
    <w:rsid w:val="00CA2754"/>
    <w:rsid w:val="00CA2D9D"/>
    <w:rsid w:val="00CA4D78"/>
    <w:rsid w:val="00CA5389"/>
    <w:rsid w:val="00CA605E"/>
    <w:rsid w:val="00CA6574"/>
    <w:rsid w:val="00CA7BC9"/>
    <w:rsid w:val="00CB0577"/>
    <w:rsid w:val="00CB0A40"/>
    <w:rsid w:val="00CB0EF2"/>
    <w:rsid w:val="00CB1789"/>
    <w:rsid w:val="00CB2DB2"/>
    <w:rsid w:val="00CB318A"/>
    <w:rsid w:val="00CB6940"/>
    <w:rsid w:val="00CB777B"/>
    <w:rsid w:val="00CC0571"/>
    <w:rsid w:val="00CC209B"/>
    <w:rsid w:val="00CC238F"/>
    <w:rsid w:val="00CC420B"/>
    <w:rsid w:val="00CC4296"/>
    <w:rsid w:val="00CC4A13"/>
    <w:rsid w:val="00CC4C27"/>
    <w:rsid w:val="00CC5DD4"/>
    <w:rsid w:val="00CC6921"/>
    <w:rsid w:val="00CC73E7"/>
    <w:rsid w:val="00CD0960"/>
    <w:rsid w:val="00CD2092"/>
    <w:rsid w:val="00CD493C"/>
    <w:rsid w:val="00CD4B0C"/>
    <w:rsid w:val="00CD4FEC"/>
    <w:rsid w:val="00CD58E4"/>
    <w:rsid w:val="00CD605B"/>
    <w:rsid w:val="00CD7547"/>
    <w:rsid w:val="00CD7D8A"/>
    <w:rsid w:val="00CD7D95"/>
    <w:rsid w:val="00CE0061"/>
    <w:rsid w:val="00CE0865"/>
    <w:rsid w:val="00CE0D91"/>
    <w:rsid w:val="00CE12E7"/>
    <w:rsid w:val="00CE46F6"/>
    <w:rsid w:val="00CE4F7D"/>
    <w:rsid w:val="00CE5484"/>
    <w:rsid w:val="00CE5E2D"/>
    <w:rsid w:val="00CE78E9"/>
    <w:rsid w:val="00CE7FDE"/>
    <w:rsid w:val="00CF04FA"/>
    <w:rsid w:val="00CF2EDA"/>
    <w:rsid w:val="00CF3CC7"/>
    <w:rsid w:val="00CF4D9F"/>
    <w:rsid w:val="00CF541E"/>
    <w:rsid w:val="00CF6127"/>
    <w:rsid w:val="00D00889"/>
    <w:rsid w:val="00D021F0"/>
    <w:rsid w:val="00D0267C"/>
    <w:rsid w:val="00D02C0D"/>
    <w:rsid w:val="00D03055"/>
    <w:rsid w:val="00D036C9"/>
    <w:rsid w:val="00D04E17"/>
    <w:rsid w:val="00D054E7"/>
    <w:rsid w:val="00D058AD"/>
    <w:rsid w:val="00D10DB5"/>
    <w:rsid w:val="00D11A78"/>
    <w:rsid w:val="00D11B3A"/>
    <w:rsid w:val="00D12669"/>
    <w:rsid w:val="00D14092"/>
    <w:rsid w:val="00D144A6"/>
    <w:rsid w:val="00D14987"/>
    <w:rsid w:val="00D15217"/>
    <w:rsid w:val="00D156CC"/>
    <w:rsid w:val="00D15979"/>
    <w:rsid w:val="00D164C4"/>
    <w:rsid w:val="00D1652D"/>
    <w:rsid w:val="00D177BF"/>
    <w:rsid w:val="00D17A76"/>
    <w:rsid w:val="00D201BB"/>
    <w:rsid w:val="00D2148A"/>
    <w:rsid w:val="00D21D84"/>
    <w:rsid w:val="00D22D77"/>
    <w:rsid w:val="00D23B9D"/>
    <w:rsid w:val="00D2439C"/>
    <w:rsid w:val="00D24EF7"/>
    <w:rsid w:val="00D2643F"/>
    <w:rsid w:val="00D26CA2"/>
    <w:rsid w:val="00D27F14"/>
    <w:rsid w:val="00D300CA"/>
    <w:rsid w:val="00D307A2"/>
    <w:rsid w:val="00D30AB3"/>
    <w:rsid w:val="00D31F9C"/>
    <w:rsid w:val="00D32164"/>
    <w:rsid w:val="00D328F3"/>
    <w:rsid w:val="00D339C4"/>
    <w:rsid w:val="00D33DEF"/>
    <w:rsid w:val="00D34CC9"/>
    <w:rsid w:val="00D3521B"/>
    <w:rsid w:val="00D36336"/>
    <w:rsid w:val="00D405FC"/>
    <w:rsid w:val="00D4085C"/>
    <w:rsid w:val="00D41557"/>
    <w:rsid w:val="00D418AE"/>
    <w:rsid w:val="00D4453C"/>
    <w:rsid w:val="00D44762"/>
    <w:rsid w:val="00D45209"/>
    <w:rsid w:val="00D459B2"/>
    <w:rsid w:val="00D46A57"/>
    <w:rsid w:val="00D50A33"/>
    <w:rsid w:val="00D51ABC"/>
    <w:rsid w:val="00D51EE0"/>
    <w:rsid w:val="00D52FA4"/>
    <w:rsid w:val="00D531B5"/>
    <w:rsid w:val="00D532A0"/>
    <w:rsid w:val="00D537A6"/>
    <w:rsid w:val="00D54072"/>
    <w:rsid w:val="00D54C29"/>
    <w:rsid w:val="00D54D37"/>
    <w:rsid w:val="00D56562"/>
    <w:rsid w:val="00D56687"/>
    <w:rsid w:val="00D57B6E"/>
    <w:rsid w:val="00D61469"/>
    <w:rsid w:val="00D615C0"/>
    <w:rsid w:val="00D62282"/>
    <w:rsid w:val="00D62403"/>
    <w:rsid w:val="00D625FC"/>
    <w:rsid w:val="00D63D81"/>
    <w:rsid w:val="00D64DFB"/>
    <w:rsid w:val="00D654A8"/>
    <w:rsid w:val="00D65BA8"/>
    <w:rsid w:val="00D66FA4"/>
    <w:rsid w:val="00D67209"/>
    <w:rsid w:val="00D70B88"/>
    <w:rsid w:val="00D715AD"/>
    <w:rsid w:val="00D71B10"/>
    <w:rsid w:val="00D71C84"/>
    <w:rsid w:val="00D71E3F"/>
    <w:rsid w:val="00D72816"/>
    <w:rsid w:val="00D73D40"/>
    <w:rsid w:val="00D77782"/>
    <w:rsid w:val="00D77992"/>
    <w:rsid w:val="00D81CD0"/>
    <w:rsid w:val="00D8207F"/>
    <w:rsid w:val="00D823E4"/>
    <w:rsid w:val="00D85AF5"/>
    <w:rsid w:val="00D86FCE"/>
    <w:rsid w:val="00D9012D"/>
    <w:rsid w:val="00D9069C"/>
    <w:rsid w:val="00D9164B"/>
    <w:rsid w:val="00D91BF3"/>
    <w:rsid w:val="00D92614"/>
    <w:rsid w:val="00D9277C"/>
    <w:rsid w:val="00D92963"/>
    <w:rsid w:val="00D92A00"/>
    <w:rsid w:val="00D93E09"/>
    <w:rsid w:val="00D95160"/>
    <w:rsid w:val="00D952E4"/>
    <w:rsid w:val="00D96E10"/>
    <w:rsid w:val="00D97333"/>
    <w:rsid w:val="00DA0610"/>
    <w:rsid w:val="00DA0C17"/>
    <w:rsid w:val="00DA0EDA"/>
    <w:rsid w:val="00DA21E6"/>
    <w:rsid w:val="00DA2647"/>
    <w:rsid w:val="00DA31B7"/>
    <w:rsid w:val="00DA33F9"/>
    <w:rsid w:val="00DA44BF"/>
    <w:rsid w:val="00DA4B06"/>
    <w:rsid w:val="00DA5363"/>
    <w:rsid w:val="00DA574C"/>
    <w:rsid w:val="00DA5DBB"/>
    <w:rsid w:val="00DA6C04"/>
    <w:rsid w:val="00DB043D"/>
    <w:rsid w:val="00DB1137"/>
    <w:rsid w:val="00DB217D"/>
    <w:rsid w:val="00DB2FCA"/>
    <w:rsid w:val="00DB3851"/>
    <w:rsid w:val="00DB3A13"/>
    <w:rsid w:val="00DB4DAD"/>
    <w:rsid w:val="00DB4E9D"/>
    <w:rsid w:val="00DB5D03"/>
    <w:rsid w:val="00DB6102"/>
    <w:rsid w:val="00DB69CC"/>
    <w:rsid w:val="00DB77C4"/>
    <w:rsid w:val="00DB7A69"/>
    <w:rsid w:val="00DB7D89"/>
    <w:rsid w:val="00DC02E8"/>
    <w:rsid w:val="00DC0E3E"/>
    <w:rsid w:val="00DC2417"/>
    <w:rsid w:val="00DC26ED"/>
    <w:rsid w:val="00DC2AD1"/>
    <w:rsid w:val="00DC2BB1"/>
    <w:rsid w:val="00DC3D7B"/>
    <w:rsid w:val="00DC43B5"/>
    <w:rsid w:val="00DC49C0"/>
    <w:rsid w:val="00DC4BFC"/>
    <w:rsid w:val="00DC5D54"/>
    <w:rsid w:val="00DC5E43"/>
    <w:rsid w:val="00DC5E93"/>
    <w:rsid w:val="00DC7EEA"/>
    <w:rsid w:val="00DD163E"/>
    <w:rsid w:val="00DD1706"/>
    <w:rsid w:val="00DD202D"/>
    <w:rsid w:val="00DD3056"/>
    <w:rsid w:val="00DD30BB"/>
    <w:rsid w:val="00DD3A0B"/>
    <w:rsid w:val="00DD3E75"/>
    <w:rsid w:val="00DD43A5"/>
    <w:rsid w:val="00DD43AF"/>
    <w:rsid w:val="00DD43DC"/>
    <w:rsid w:val="00DD52BE"/>
    <w:rsid w:val="00DD5439"/>
    <w:rsid w:val="00DD5540"/>
    <w:rsid w:val="00DD55BB"/>
    <w:rsid w:val="00DD64B1"/>
    <w:rsid w:val="00DD7BD6"/>
    <w:rsid w:val="00DE0AC1"/>
    <w:rsid w:val="00DE0BA1"/>
    <w:rsid w:val="00DE1F55"/>
    <w:rsid w:val="00DE24C4"/>
    <w:rsid w:val="00DE2778"/>
    <w:rsid w:val="00DE2BD8"/>
    <w:rsid w:val="00DE3066"/>
    <w:rsid w:val="00DE381A"/>
    <w:rsid w:val="00DE3A81"/>
    <w:rsid w:val="00DE4193"/>
    <w:rsid w:val="00DE4DB9"/>
    <w:rsid w:val="00DE5892"/>
    <w:rsid w:val="00DE591C"/>
    <w:rsid w:val="00DE5DA3"/>
    <w:rsid w:val="00DE6792"/>
    <w:rsid w:val="00DE6962"/>
    <w:rsid w:val="00DF0870"/>
    <w:rsid w:val="00DF0C6C"/>
    <w:rsid w:val="00DF1570"/>
    <w:rsid w:val="00DF16E7"/>
    <w:rsid w:val="00DF2AE9"/>
    <w:rsid w:val="00DF3C17"/>
    <w:rsid w:val="00DF435D"/>
    <w:rsid w:val="00DF49F6"/>
    <w:rsid w:val="00DF5584"/>
    <w:rsid w:val="00DF5B78"/>
    <w:rsid w:val="00DF64DF"/>
    <w:rsid w:val="00DF6EFE"/>
    <w:rsid w:val="00DF70C2"/>
    <w:rsid w:val="00DF773D"/>
    <w:rsid w:val="00DF7A38"/>
    <w:rsid w:val="00DF7C1C"/>
    <w:rsid w:val="00E0071F"/>
    <w:rsid w:val="00E00796"/>
    <w:rsid w:val="00E009CD"/>
    <w:rsid w:val="00E00A55"/>
    <w:rsid w:val="00E01799"/>
    <w:rsid w:val="00E0179D"/>
    <w:rsid w:val="00E025C9"/>
    <w:rsid w:val="00E06128"/>
    <w:rsid w:val="00E0687A"/>
    <w:rsid w:val="00E07BF1"/>
    <w:rsid w:val="00E1196E"/>
    <w:rsid w:val="00E11E08"/>
    <w:rsid w:val="00E13EE1"/>
    <w:rsid w:val="00E14D39"/>
    <w:rsid w:val="00E151C4"/>
    <w:rsid w:val="00E1549F"/>
    <w:rsid w:val="00E155B2"/>
    <w:rsid w:val="00E155F1"/>
    <w:rsid w:val="00E1610C"/>
    <w:rsid w:val="00E16757"/>
    <w:rsid w:val="00E177E6"/>
    <w:rsid w:val="00E17EB7"/>
    <w:rsid w:val="00E20538"/>
    <w:rsid w:val="00E212C2"/>
    <w:rsid w:val="00E2167F"/>
    <w:rsid w:val="00E222AC"/>
    <w:rsid w:val="00E222C6"/>
    <w:rsid w:val="00E22326"/>
    <w:rsid w:val="00E22FF6"/>
    <w:rsid w:val="00E243BF"/>
    <w:rsid w:val="00E24BE5"/>
    <w:rsid w:val="00E25A1D"/>
    <w:rsid w:val="00E31FD0"/>
    <w:rsid w:val="00E323AB"/>
    <w:rsid w:val="00E32445"/>
    <w:rsid w:val="00E32535"/>
    <w:rsid w:val="00E327B7"/>
    <w:rsid w:val="00E33543"/>
    <w:rsid w:val="00E3356F"/>
    <w:rsid w:val="00E34253"/>
    <w:rsid w:val="00E35113"/>
    <w:rsid w:val="00E36515"/>
    <w:rsid w:val="00E371AE"/>
    <w:rsid w:val="00E37D60"/>
    <w:rsid w:val="00E37DEB"/>
    <w:rsid w:val="00E413C2"/>
    <w:rsid w:val="00E41A5E"/>
    <w:rsid w:val="00E43AD7"/>
    <w:rsid w:val="00E4443A"/>
    <w:rsid w:val="00E44777"/>
    <w:rsid w:val="00E44E51"/>
    <w:rsid w:val="00E45F19"/>
    <w:rsid w:val="00E45F90"/>
    <w:rsid w:val="00E46BD2"/>
    <w:rsid w:val="00E46BF9"/>
    <w:rsid w:val="00E50306"/>
    <w:rsid w:val="00E5202E"/>
    <w:rsid w:val="00E5483E"/>
    <w:rsid w:val="00E553C7"/>
    <w:rsid w:val="00E56028"/>
    <w:rsid w:val="00E568DC"/>
    <w:rsid w:val="00E5701D"/>
    <w:rsid w:val="00E57540"/>
    <w:rsid w:val="00E577B9"/>
    <w:rsid w:val="00E57991"/>
    <w:rsid w:val="00E610ED"/>
    <w:rsid w:val="00E6143B"/>
    <w:rsid w:val="00E61950"/>
    <w:rsid w:val="00E650CE"/>
    <w:rsid w:val="00E669C6"/>
    <w:rsid w:val="00E66A3B"/>
    <w:rsid w:val="00E70BB4"/>
    <w:rsid w:val="00E7134F"/>
    <w:rsid w:val="00E71923"/>
    <w:rsid w:val="00E72411"/>
    <w:rsid w:val="00E729BC"/>
    <w:rsid w:val="00E73F47"/>
    <w:rsid w:val="00E74A7B"/>
    <w:rsid w:val="00E754C3"/>
    <w:rsid w:val="00E757DA"/>
    <w:rsid w:val="00E76157"/>
    <w:rsid w:val="00E77BDF"/>
    <w:rsid w:val="00E77EC9"/>
    <w:rsid w:val="00E80604"/>
    <w:rsid w:val="00E813AC"/>
    <w:rsid w:val="00E83596"/>
    <w:rsid w:val="00E83885"/>
    <w:rsid w:val="00E85367"/>
    <w:rsid w:val="00E85935"/>
    <w:rsid w:val="00E85B7A"/>
    <w:rsid w:val="00E85F7D"/>
    <w:rsid w:val="00E86310"/>
    <w:rsid w:val="00E877E4"/>
    <w:rsid w:val="00E91122"/>
    <w:rsid w:val="00E913EA"/>
    <w:rsid w:val="00E92300"/>
    <w:rsid w:val="00E93237"/>
    <w:rsid w:val="00E93C78"/>
    <w:rsid w:val="00E9445E"/>
    <w:rsid w:val="00E954CB"/>
    <w:rsid w:val="00E95677"/>
    <w:rsid w:val="00E96724"/>
    <w:rsid w:val="00E96BE3"/>
    <w:rsid w:val="00E970EB"/>
    <w:rsid w:val="00E97338"/>
    <w:rsid w:val="00EA222B"/>
    <w:rsid w:val="00EA28C0"/>
    <w:rsid w:val="00EA3199"/>
    <w:rsid w:val="00EA3691"/>
    <w:rsid w:val="00EA3B5F"/>
    <w:rsid w:val="00EA3C7B"/>
    <w:rsid w:val="00EA43F8"/>
    <w:rsid w:val="00EA499D"/>
    <w:rsid w:val="00EA5FB1"/>
    <w:rsid w:val="00EA7631"/>
    <w:rsid w:val="00EB1631"/>
    <w:rsid w:val="00EB1C01"/>
    <w:rsid w:val="00EB2807"/>
    <w:rsid w:val="00EB3A03"/>
    <w:rsid w:val="00EB3C3F"/>
    <w:rsid w:val="00EB3F22"/>
    <w:rsid w:val="00EB455E"/>
    <w:rsid w:val="00EB50AD"/>
    <w:rsid w:val="00EB5A2D"/>
    <w:rsid w:val="00EB78B3"/>
    <w:rsid w:val="00EC08C5"/>
    <w:rsid w:val="00EC0D42"/>
    <w:rsid w:val="00EC1F41"/>
    <w:rsid w:val="00EC2ED2"/>
    <w:rsid w:val="00EC34C3"/>
    <w:rsid w:val="00EC4BCC"/>
    <w:rsid w:val="00EC5025"/>
    <w:rsid w:val="00EC5DE9"/>
    <w:rsid w:val="00EC69ED"/>
    <w:rsid w:val="00EC6B17"/>
    <w:rsid w:val="00EC6E0A"/>
    <w:rsid w:val="00EC6FE9"/>
    <w:rsid w:val="00EC739E"/>
    <w:rsid w:val="00EC7BBD"/>
    <w:rsid w:val="00ED37F7"/>
    <w:rsid w:val="00ED3EDC"/>
    <w:rsid w:val="00ED3FB1"/>
    <w:rsid w:val="00ED49E9"/>
    <w:rsid w:val="00ED5FC5"/>
    <w:rsid w:val="00ED6160"/>
    <w:rsid w:val="00ED6CC4"/>
    <w:rsid w:val="00ED7A83"/>
    <w:rsid w:val="00EE0924"/>
    <w:rsid w:val="00EE1148"/>
    <w:rsid w:val="00EE388D"/>
    <w:rsid w:val="00EE3DCE"/>
    <w:rsid w:val="00EE4591"/>
    <w:rsid w:val="00EE47EE"/>
    <w:rsid w:val="00EE4AD3"/>
    <w:rsid w:val="00EE4B1D"/>
    <w:rsid w:val="00EE546A"/>
    <w:rsid w:val="00EE6E08"/>
    <w:rsid w:val="00EE7733"/>
    <w:rsid w:val="00EF1A42"/>
    <w:rsid w:val="00EF2D90"/>
    <w:rsid w:val="00EF3D3F"/>
    <w:rsid w:val="00EF3E03"/>
    <w:rsid w:val="00EF41BE"/>
    <w:rsid w:val="00EF48D9"/>
    <w:rsid w:val="00EF4C2E"/>
    <w:rsid w:val="00EF5097"/>
    <w:rsid w:val="00EF5AEA"/>
    <w:rsid w:val="00EF7F42"/>
    <w:rsid w:val="00F00EDC"/>
    <w:rsid w:val="00F017FB"/>
    <w:rsid w:val="00F01CA8"/>
    <w:rsid w:val="00F02D6F"/>
    <w:rsid w:val="00F03B4C"/>
    <w:rsid w:val="00F044BB"/>
    <w:rsid w:val="00F05B9F"/>
    <w:rsid w:val="00F069C9"/>
    <w:rsid w:val="00F07D98"/>
    <w:rsid w:val="00F104D9"/>
    <w:rsid w:val="00F1060C"/>
    <w:rsid w:val="00F10DC0"/>
    <w:rsid w:val="00F10F09"/>
    <w:rsid w:val="00F11AE8"/>
    <w:rsid w:val="00F1308A"/>
    <w:rsid w:val="00F14DC6"/>
    <w:rsid w:val="00F15F7A"/>
    <w:rsid w:val="00F161D5"/>
    <w:rsid w:val="00F20080"/>
    <w:rsid w:val="00F2020F"/>
    <w:rsid w:val="00F2046D"/>
    <w:rsid w:val="00F20928"/>
    <w:rsid w:val="00F20F30"/>
    <w:rsid w:val="00F2161F"/>
    <w:rsid w:val="00F21A1D"/>
    <w:rsid w:val="00F23B50"/>
    <w:rsid w:val="00F242CC"/>
    <w:rsid w:val="00F24CF3"/>
    <w:rsid w:val="00F251BE"/>
    <w:rsid w:val="00F2586D"/>
    <w:rsid w:val="00F25D6C"/>
    <w:rsid w:val="00F26610"/>
    <w:rsid w:val="00F30E2F"/>
    <w:rsid w:val="00F31194"/>
    <w:rsid w:val="00F3165A"/>
    <w:rsid w:val="00F31A0B"/>
    <w:rsid w:val="00F323DC"/>
    <w:rsid w:val="00F33618"/>
    <w:rsid w:val="00F34638"/>
    <w:rsid w:val="00F34842"/>
    <w:rsid w:val="00F3602D"/>
    <w:rsid w:val="00F36988"/>
    <w:rsid w:val="00F36C67"/>
    <w:rsid w:val="00F372FB"/>
    <w:rsid w:val="00F404DE"/>
    <w:rsid w:val="00F41EA1"/>
    <w:rsid w:val="00F45FD8"/>
    <w:rsid w:val="00F46678"/>
    <w:rsid w:val="00F46BB5"/>
    <w:rsid w:val="00F47558"/>
    <w:rsid w:val="00F52085"/>
    <w:rsid w:val="00F52331"/>
    <w:rsid w:val="00F52380"/>
    <w:rsid w:val="00F52593"/>
    <w:rsid w:val="00F52D96"/>
    <w:rsid w:val="00F53371"/>
    <w:rsid w:val="00F5342D"/>
    <w:rsid w:val="00F54A67"/>
    <w:rsid w:val="00F572CF"/>
    <w:rsid w:val="00F6001A"/>
    <w:rsid w:val="00F608D6"/>
    <w:rsid w:val="00F60A7C"/>
    <w:rsid w:val="00F60EEC"/>
    <w:rsid w:val="00F6116C"/>
    <w:rsid w:val="00F61A13"/>
    <w:rsid w:val="00F62A23"/>
    <w:rsid w:val="00F632B0"/>
    <w:rsid w:val="00F63440"/>
    <w:rsid w:val="00F63BBD"/>
    <w:rsid w:val="00F63DF5"/>
    <w:rsid w:val="00F6428A"/>
    <w:rsid w:val="00F644AF"/>
    <w:rsid w:val="00F64664"/>
    <w:rsid w:val="00F64B84"/>
    <w:rsid w:val="00F652C2"/>
    <w:rsid w:val="00F66192"/>
    <w:rsid w:val="00F66B92"/>
    <w:rsid w:val="00F67028"/>
    <w:rsid w:val="00F67766"/>
    <w:rsid w:val="00F7016A"/>
    <w:rsid w:val="00F703EA"/>
    <w:rsid w:val="00F705DA"/>
    <w:rsid w:val="00F70E29"/>
    <w:rsid w:val="00F70E73"/>
    <w:rsid w:val="00F71B08"/>
    <w:rsid w:val="00F7221A"/>
    <w:rsid w:val="00F730CE"/>
    <w:rsid w:val="00F745FB"/>
    <w:rsid w:val="00F74E91"/>
    <w:rsid w:val="00F75877"/>
    <w:rsid w:val="00F76291"/>
    <w:rsid w:val="00F76C1D"/>
    <w:rsid w:val="00F76C48"/>
    <w:rsid w:val="00F7782C"/>
    <w:rsid w:val="00F778A9"/>
    <w:rsid w:val="00F77A96"/>
    <w:rsid w:val="00F808A1"/>
    <w:rsid w:val="00F81786"/>
    <w:rsid w:val="00F8184B"/>
    <w:rsid w:val="00F8191B"/>
    <w:rsid w:val="00F81F78"/>
    <w:rsid w:val="00F8378A"/>
    <w:rsid w:val="00F83947"/>
    <w:rsid w:val="00F85387"/>
    <w:rsid w:val="00F85C13"/>
    <w:rsid w:val="00F85E0D"/>
    <w:rsid w:val="00F87557"/>
    <w:rsid w:val="00F87F43"/>
    <w:rsid w:val="00F90A9A"/>
    <w:rsid w:val="00F93489"/>
    <w:rsid w:val="00F938A5"/>
    <w:rsid w:val="00F93C80"/>
    <w:rsid w:val="00F9511F"/>
    <w:rsid w:val="00F95BFE"/>
    <w:rsid w:val="00F96D2E"/>
    <w:rsid w:val="00F96EE0"/>
    <w:rsid w:val="00FA16C7"/>
    <w:rsid w:val="00FA1CB0"/>
    <w:rsid w:val="00FA32D3"/>
    <w:rsid w:val="00FA3804"/>
    <w:rsid w:val="00FA3909"/>
    <w:rsid w:val="00FA63F0"/>
    <w:rsid w:val="00FA6944"/>
    <w:rsid w:val="00FA7A63"/>
    <w:rsid w:val="00FB0C1E"/>
    <w:rsid w:val="00FB0FB8"/>
    <w:rsid w:val="00FB19A2"/>
    <w:rsid w:val="00FB2E00"/>
    <w:rsid w:val="00FB39D9"/>
    <w:rsid w:val="00FB40D4"/>
    <w:rsid w:val="00FB4649"/>
    <w:rsid w:val="00FB48EF"/>
    <w:rsid w:val="00FB4D85"/>
    <w:rsid w:val="00FB4E13"/>
    <w:rsid w:val="00FB4E85"/>
    <w:rsid w:val="00FB6161"/>
    <w:rsid w:val="00FB6747"/>
    <w:rsid w:val="00FB6AF6"/>
    <w:rsid w:val="00FB72BD"/>
    <w:rsid w:val="00FC0050"/>
    <w:rsid w:val="00FC1CE9"/>
    <w:rsid w:val="00FC2236"/>
    <w:rsid w:val="00FC225E"/>
    <w:rsid w:val="00FC3914"/>
    <w:rsid w:val="00FC410F"/>
    <w:rsid w:val="00FC42D6"/>
    <w:rsid w:val="00FC4680"/>
    <w:rsid w:val="00FC4ACB"/>
    <w:rsid w:val="00FC506A"/>
    <w:rsid w:val="00FC5E67"/>
    <w:rsid w:val="00FC723E"/>
    <w:rsid w:val="00FC76FB"/>
    <w:rsid w:val="00FD00E6"/>
    <w:rsid w:val="00FD012C"/>
    <w:rsid w:val="00FD0606"/>
    <w:rsid w:val="00FD1061"/>
    <w:rsid w:val="00FD16D3"/>
    <w:rsid w:val="00FD1CC8"/>
    <w:rsid w:val="00FD1D99"/>
    <w:rsid w:val="00FD1FFA"/>
    <w:rsid w:val="00FD30C2"/>
    <w:rsid w:val="00FD524A"/>
    <w:rsid w:val="00FD54EB"/>
    <w:rsid w:val="00FD5C3D"/>
    <w:rsid w:val="00FD5D53"/>
    <w:rsid w:val="00FD6067"/>
    <w:rsid w:val="00FD64DA"/>
    <w:rsid w:val="00FD6E1F"/>
    <w:rsid w:val="00FD75CC"/>
    <w:rsid w:val="00FE025A"/>
    <w:rsid w:val="00FE08AE"/>
    <w:rsid w:val="00FE0B9B"/>
    <w:rsid w:val="00FE1012"/>
    <w:rsid w:val="00FE12E4"/>
    <w:rsid w:val="00FE3F72"/>
    <w:rsid w:val="00FE4FEB"/>
    <w:rsid w:val="00FE5CDE"/>
    <w:rsid w:val="00FE5D54"/>
    <w:rsid w:val="00FE5E15"/>
    <w:rsid w:val="00FE628D"/>
    <w:rsid w:val="00FE7909"/>
    <w:rsid w:val="00FF1476"/>
    <w:rsid w:val="00FF268C"/>
    <w:rsid w:val="00FF3148"/>
    <w:rsid w:val="00FF3C46"/>
    <w:rsid w:val="00FF5F20"/>
    <w:rsid w:val="00FF640C"/>
    <w:rsid w:val="00FF66E2"/>
    <w:rsid w:val="00FF7056"/>
    <w:rsid w:val="00FF71A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0BAFD4"/>
  <w15:chartTrackingRefBased/>
  <w15:docId w15:val="{73E191CE-CBD0-43CA-B518-F3770B10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font6">
    <w:name w:val="font6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color w:val="0000FF"/>
      <w:sz w:val="16"/>
      <w:szCs w:val="16"/>
    </w:rPr>
  </w:style>
  <w:style w:type="paragraph" w:customStyle="1" w:styleId="xl27">
    <w:name w:val="xl27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pBdr>
        <w:top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top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0">
    <w:name w:val="xl40"/>
    <w:basedOn w:val="Normal"/>
    <w:pPr>
      <w:pBdr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1">
    <w:name w:val="xl41"/>
    <w:basedOn w:val="Normal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2">
    <w:name w:val="xl42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4">
    <w:name w:val="xl4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6">
    <w:name w:val="xl4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9">
    <w:name w:val="xl49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50">
    <w:name w:val="xl50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2">
    <w:name w:val="xl52"/>
    <w:basedOn w:val="Normal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7">
    <w:name w:val="xl5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61">
    <w:name w:val="xl61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3">
    <w:name w:val="xl63"/>
    <w:basedOn w:val="Normal"/>
    <w:pP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9">
    <w:name w:val="xl69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0">
    <w:name w:val="xl70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1">
    <w:name w:val="xl71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xt">
    <w:name w:val="text"/>
    <w:basedOn w:val="DefaultParagraphFont"/>
  </w:style>
  <w:style w:type="paragraph" w:styleId="BodyTextIndent">
    <w:name w:val="Body Text Indent"/>
    <w:basedOn w:val="Normal"/>
    <w:pPr>
      <w:autoSpaceDE/>
      <w:autoSpaceDN/>
      <w:spacing w:after="120"/>
      <w:ind w:left="360"/>
    </w:pPr>
    <w:rPr>
      <w:lang w:val="en-GB"/>
    </w:rPr>
  </w:style>
  <w:style w:type="paragraph" w:styleId="PlainText">
    <w:name w:val="Plain Text"/>
    <w:basedOn w:val="Normal"/>
    <w:rsid w:val="000F54F4"/>
    <w:pPr>
      <w:autoSpaceDE/>
      <w:autoSpaceDN/>
    </w:pPr>
    <w:rPr>
      <w:rFonts w:ascii="Courier New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D16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51A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1A58"/>
    <w:rPr>
      <w:rFonts w:ascii="Tahoma" w:hAnsi="Tahoma" w:cs="Tahoma"/>
      <w:sz w:val="16"/>
      <w:szCs w:val="16"/>
    </w:rPr>
  </w:style>
  <w:style w:type="character" w:customStyle="1" w:styleId="bernard">
    <w:name w:val="bernard"/>
    <w:semiHidden/>
    <w:rsid w:val="008D16E0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423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2549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E11E08"/>
    <w:pPr>
      <w:autoSpaceDE/>
      <w:autoSpaceDN/>
      <w:spacing w:before="100" w:beforeAutospacing="1" w:after="100" w:afterAutospacing="1"/>
    </w:pPr>
    <w:rPr>
      <w:lang w:val="nl-BE" w:eastAsia="nl-BE"/>
    </w:rPr>
  </w:style>
  <w:style w:type="paragraph" w:styleId="Caption">
    <w:name w:val="caption"/>
    <w:basedOn w:val="Normal"/>
    <w:next w:val="Normal"/>
    <w:uiPriority w:val="35"/>
    <w:unhideWhenUsed/>
    <w:qFormat/>
    <w:rsid w:val="009246C8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246C8"/>
    <w:rPr>
      <w:lang w:val="en-US" w:eastAsia="en-US"/>
    </w:rPr>
  </w:style>
  <w:style w:type="paragraph" w:styleId="DocumentMap">
    <w:name w:val="Document Map"/>
    <w:basedOn w:val="Normal"/>
    <w:link w:val="DocumentMapChar"/>
    <w:rsid w:val="00104F7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104F7D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477B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7B24"/>
  </w:style>
  <w:style w:type="character" w:styleId="EndnoteReference">
    <w:name w:val="endnote reference"/>
    <w:rsid w:val="00477B24"/>
    <w:rPr>
      <w:vertAlign w:val="superscript"/>
    </w:rPr>
  </w:style>
  <w:style w:type="character" w:styleId="CommentReference">
    <w:name w:val="annotation reference"/>
    <w:rsid w:val="00844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F9"/>
    <w:rPr>
      <w:sz w:val="20"/>
      <w:szCs w:val="20"/>
    </w:rPr>
  </w:style>
  <w:style w:type="character" w:customStyle="1" w:styleId="CommentTextChar">
    <w:name w:val="Comment Text Char"/>
    <w:link w:val="CommentText"/>
    <w:rsid w:val="008441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41F9"/>
    <w:rPr>
      <w:b/>
      <w:bCs/>
    </w:rPr>
  </w:style>
  <w:style w:type="character" w:customStyle="1" w:styleId="CommentSubjectChar">
    <w:name w:val="Comment Subject Char"/>
    <w:link w:val="CommentSubject"/>
    <w:rsid w:val="008441F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://www.efama.or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4DCF-9FB7-40CB-B011-99AFAC7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1604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EFAMA</Company>
  <LinksUpToDate>false</LinksUpToDate>
  <CharactersWithSpaces>9691</CharactersWithSpaces>
  <SharedDoc>false</SharedDoc>
  <HLinks>
    <vt:vector size="6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http://www.efama.org/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 Delbecque</dc:creator>
  <cp:keywords/>
  <dc:description/>
  <cp:lastModifiedBy>Thomas Tilley</cp:lastModifiedBy>
  <cp:revision>50</cp:revision>
  <cp:lastPrinted>2018-09-06T09:12:00Z</cp:lastPrinted>
  <dcterms:created xsi:type="dcterms:W3CDTF">2018-09-04T16:24:00Z</dcterms:created>
  <dcterms:modified xsi:type="dcterms:W3CDTF">2018-09-06T09:56:00Z</dcterms:modified>
</cp:coreProperties>
</file>